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FEB6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44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z w:val="44"/>
          <w:szCs w:val="44"/>
          <w:lang w:val="en-US" w:eastAsia="zh-CN"/>
        </w:rPr>
        <w:t>盈创动力信息化硬件设备机房托管服务(2025-2028年)</w:t>
      </w:r>
    </w:p>
    <w:p w14:paraId="12ECFD6A">
      <w:pPr>
        <w:jc w:val="center"/>
        <w:rPr>
          <w:rFonts w:hint="eastAsia" w:ascii="方正小标宋简体" w:eastAsia="方正小标宋简体"/>
          <w:spacing w:val="-20"/>
          <w:sz w:val="44"/>
          <w:szCs w:val="44"/>
        </w:rPr>
      </w:pPr>
    </w:p>
    <w:p w14:paraId="5D294D78">
      <w:pPr>
        <w:jc w:val="both"/>
        <w:rPr>
          <w:rFonts w:hint="eastAsia" w:ascii="方正小标宋简体" w:eastAsia="方正小标宋简体"/>
          <w:spacing w:val="-20"/>
          <w:sz w:val="96"/>
          <w:szCs w:val="44"/>
        </w:rPr>
      </w:pPr>
    </w:p>
    <w:p w14:paraId="01D1D966">
      <w:pPr>
        <w:jc w:val="center"/>
        <w:rPr>
          <w:rFonts w:hint="eastAsia" w:ascii="黑体" w:hAnsi="黑体" w:eastAsia="黑体" w:cs="黑体"/>
          <w:spacing w:val="-20"/>
          <w:sz w:val="96"/>
          <w:szCs w:val="44"/>
        </w:rPr>
      </w:pPr>
      <w:r>
        <w:rPr>
          <w:rFonts w:hint="eastAsia" w:ascii="黑体" w:hAnsi="黑体" w:eastAsia="黑体" w:cs="黑体"/>
          <w:spacing w:val="-20"/>
          <w:sz w:val="96"/>
          <w:szCs w:val="44"/>
          <w:lang w:val="en-US" w:eastAsia="zh-CN"/>
        </w:rPr>
        <w:t>预</w:t>
      </w:r>
      <w:r>
        <w:rPr>
          <w:rFonts w:hint="eastAsia" w:ascii="黑体" w:hAnsi="黑体" w:eastAsia="黑体" w:cs="黑体"/>
          <w:spacing w:val="-20"/>
          <w:sz w:val="96"/>
          <w:szCs w:val="44"/>
        </w:rPr>
        <w:t>询价文件</w:t>
      </w:r>
    </w:p>
    <w:p w14:paraId="45DB2044">
      <w:pPr>
        <w:spacing w:line="560" w:lineRule="exact"/>
        <w:jc w:val="center"/>
        <w:rPr>
          <w:rFonts w:hint="eastAsia" w:ascii="方正小标宋简体" w:eastAsia="方正小标宋简体"/>
          <w:spacing w:val="-20"/>
          <w:sz w:val="72"/>
          <w:szCs w:val="44"/>
        </w:rPr>
      </w:pPr>
    </w:p>
    <w:p w14:paraId="0A429601">
      <w:pPr>
        <w:spacing w:line="560" w:lineRule="exact"/>
        <w:jc w:val="center"/>
        <w:rPr>
          <w:rFonts w:hint="eastAsia" w:ascii="方正小标宋简体" w:eastAsia="方正小标宋简体"/>
          <w:spacing w:val="-20"/>
          <w:sz w:val="72"/>
          <w:szCs w:val="44"/>
        </w:rPr>
      </w:pPr>
    </w:p>
    <w:p w14:paraId="0DA8C3B6">
      <w:pPr>
        <w:spacing w:line="560" w:lineRule="exact"/>
        <w:jc w:val="center"/>
        <w:rPr>
          <w:rFonts w:hint="eastAsia" w:ascii="方正小标宋简体" w:eastAsia="方正小标宋简体"/>
          <w:spacing w:val="-20"/>
          <w:sz w:val="72"/>
          <w:szCs w:val="44"/>
        </w:rPr>
      </w:pPr>
    </w:p>
    <w:p w14:paraId="57DDB341">
      <w:pPr>
        <w:spacing w:line="560" w:lineRule="exact"/>
        <w:jc w:val="center"/>
        <w:rPr>
          <w:rFonts w:hint="eastAsia" w:ascii="方正小标宋简体" w:eastAsia="方正小标宋简体"/>
          <w:spacing w:val="-20"/>
          <w:sz w:val="72"/>
          <w:szCs w:val="44"/>
        </w:rPr>
      </w:pPr>
    </w:p>
    <w:p w14:paraId="6C2B6FD4">
      <w:pPr>
        <w:spacing w:line="560" w:lineRule="exact"/>
        <w:jc w:val="center"/>
        <w:rPr>
          <w:rFonts w:hint="eastAsia" w:ascii="方正小标宋简体" w:eastAsia="方正小标宋简体"/>
          <w:spacing w:val="-20"/>
          <w:sz w:val="36"/>
          <w:szCs w:val="44"/>
        </w:rPr>
      </w:pPr>
    </w:p>
    <w:p w14:paraId="4EE5B013">
      <w:pPr>
        <w:rPr>
          <w:rFonts w:hint="eastAsia" w:ascii="方正小标宋简体" w:eastAsia="方正小标宋简体"/>
          <w:spacing w:val="-20"/>
          <w:sz w:val="36"/>
          <w:szCs w:val="44"/>
        </w:rPr>
      </w:pPr>
    </w:p>
    <w:p w14:paraId="7C6FE8E1">
      <w:pPr>
        <w:spacing w:line="560" w:lineRule="exact"/>
        <w:jc w:val="center"/>
        <w:rPr>
          <w:rFonts w:hint="eastAsia" w:ascii="黑体" w:hAnsi="黑体" w:eastAsia="黑体" w:cs="黑体"/>
          <w:spacing w:val="-20"/>
          <w:sz w:val="36"/>
          <w:szCs w:val="44"/>
        </w:rPr>
      </w:pPr>
      <w:r>
        <w:rPr>
          <w:rFonts w:hint="eastAsia" w:ascii="黑体" w:hAnsi="黑体" w:eastAsia="黑体" w:cs="黑体"/>
          <w:spacing w:val="-20"/>
          <w:sz w:val="36"/>
          <w:szCs w:val="44"/>
        </w:rPr>
        <w:t>成都高投盈创动力投资发展有限公司</w:t>
      </w:r>
    </w:p>
    <w:p w14:paraId="6D23F4D8">
      <w:pPr>
        <w:spacing w:line="560" w:lineRule="exact"/>
        <w:jc w:val="center"/>
        <w:rPr>
          <w:rFonts w:hint="eastAsia" w:ascii="黑体" w:hAnsi="黑体" w:eastAsia="黑体" w:cs="黑体"/>
          <w:spacing w:val="-20"/>
          <w:sz w:val="36"/>
          <w:szCs w:val="44"/>
        </w:rPr>
      </w:pPr>
      <w:r>
        <w:rPr>
          <w:rFonts w:hint="eastAsia" w:ascii="黑体" w:hAnsi="黑体" w:eastAsia="黑体" w:cs="黑体"/>
          <w:spacing w:val="-20"/>
          <w:sz w:val="36"/>
          <w:szCs w:val="44"/>
        </w:rPr>
        <w:t>202</w:t>
      </w:r>
      <w:r>
        <w:rPr>
          <w:rFonts w:hint="eastAsia" w:ascii="黑体" w:hAnsi="黑体" w:eastAsia="黑体" w:cs="黑体"/>
          <w:spacing w:val="-20"/>
          <w:sz w:val="36"/>
          <w:szCs w:val="44"/>
          <w:lang w:val="en-US" w:eastAsia="zh-CN"/>
        </w:rPr>
        <w:t>5</w:t>
      </w:r>
      <w:r>
        <w:rPr>
          <w:rFonts w:hint="eastAsia" w:ascii="黑体" w:hAnsi="黑体" w:eastAsia="黑体" w:cs="黑体"/>
          <w:spacing w:val="-20"/>
          <w:sz w:val="36"/>
          <w:szCs w:val="44"/>
        </w:rPr>
        <w:t>年</w:t>
      </w:r>
      <w:r>
        <w:rPr>
          <w:rFonts w:hint="eastAsia" w:ascii="黑体" w:hAnsi="黑体" w:eastAsia="黑体" w:cs="黑体"/>
          <w:spacing w:val="-20"/>
          <w:sz w:val="36"/>
          <w:szCs w:val="44"/>
          <w:lang w:val="en-US" w:eastAsia="zh-CN"/>
        </w:rPr>
        <w:t>7</w:t>
      </w:r>
      <w:r>
        <w:rPr>
          <w:rFonts w:hint="eastAsia" w:ascii="黑体" w:hAnsi="黑体" w:eastAsia="黑体" w:cs="黑体"/>
          <w:spacing w:val="-20"/>
          <w:sz w:val="36"/>
          <w:szCs w:val="44"/>
        </w:rPr>
        <w:t>月</w:t>
      </w:r>
    </w:p>
    <w:p w14:paraId="64718F43">
      <w:pPr>
        <w:rPr>
          <w:rFonts w:hint="eastAsia" w:ascii="方正小标宋简体" w:eastAsia="方正小标宋简体"/>
          <w:spacing w:val="-20"/>
          <w:sz w:val="36"/>
          <w:szCs w:val="44"/>
        </w:rPr>
      </w:pPr>
    </w:p>
    <w:p w14:paraId="35C9CC0F">
      <w:pPr>
        <w:widowControl/>
        <w:jc w:val="left"/>
        <w:rPr>
          <w:rFonts w:hint="eastAsia" w:ascii="方正小标宋简体" w:eastAsia="方正小标宋简体"/>
          <w:spacing w:val="-20"/>
          <w:sz w:val="36"/>
          <w:szCs w:val="44"/>
        </w:rPr>
      </w:pPr>
    </w:p>
    <w:p w14:paraId="3AA12454">
      <w:pP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br w:type="page"/>
      </w:r>
    </w:p>
    <w:p w14:paraId="0703655E">
      <w:pPr>
        <w:widowControl/>
        <w:spacing w:line="420" w:lineRule="atLeas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  <w:t>一、</w:t>
      </w:r>
      <w:r>
        <w:rPr>
          <w:rFonts w:hint="eastAsia" w:ascii="仿宋_GB2312" w:hAnsi="黑体" w:eastAsia="仿宋_GB2312" w:cs="宋体"/>
          <w:b/>
          <w:bCs/>
          <w:color w:val="000000"/>
          <w:kern w:val="0"/>
          <w:sz w:val="32"/>
          <w:szCs w:val="32"/>
        </w:rPr>
        <w:t>注意事项</w:t>
      </w:r>
    </w:p>
    <w:p w14:paraId="5827485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tLeast"/>
        <w:ind w:firstLine="640" w:firstLineChars="20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报价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单位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应就以下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预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询价要求，在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202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5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年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7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月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21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日下午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17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: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0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0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时前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，向成都高投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盈创动力投资发展有限公司（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以下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简称“盈创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动力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公司”）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做出一次性书面报价。</w:t>
      </w:r>
    </w:p>
    <w:p w14:paraId="718CE693">
      <w:pPr>
        <w:widowControl/>
        <w:spacing w:line="420" w:lineRule="atLeas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  <w:t>二、</w:t>
      </w: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  <w:lang w:val="en-US" w:eastAsia="zh-CN"/>
        </w:rPr>
        <w:t>预</w:t>
      </w: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  <w:t>询价要求</w:t>
      </w:r>
    </w:p>
    <w:tbl>
      <w:tblPr>
        <w:tblStyle w:val="2"/>
        <w:tblW w:w="8610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41"/>
        <w:gridCol w:w="1559"/>
        <w:gridCol w:w="6210"/>
      </w:tblGrid>
      <w:tr w14:paraId="2541CA91">
        <w:trPr>
          <w:trHeight w:val="407" w:hRule="atLeast"/>
          <w:jc w:val="center"/>
        </w:trPr>
        <w:tc>
          <w:tcPr>
            <w:tcW w:w="84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7DFA96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黑体" w:eastAsia="仿宋_GB2312" w:cs="宋体"/>
                <w:color w:val="000000"/>
                <w:kern w:val="0"/>
                <w:sz w:val="28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F350D5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黑体" w:eastAsia="仿宋_GB2312" w:cs="宋体"/>
                <w:color w:val="000000"/>
                <w:kern w:val="0"/>
                <w:sz w:val="28"/>
                <w:szCs w:val="32"/>
              </w:rPr>
              <w:t>名 称</w:t>
            </w:r>
          </w:p>
        </w:tc>
        <w:tc>
          <w:tcPr>
            <w:tcW w:w="621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43C76E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黑体" w:eastAsia="仿宋_GB2312" w:cs="宋体"/>
                <w:color w:val="000000"/>
                <w:kern w:val="0"/>
                <w:sz w:val="28"/>
                <w:szCs w:val="32"/>
              </w:rPr>
              <w:t>要求</w:t>
            </w:r>
          </w:p>
        </w:tc>
      </w:tr>
      <w:tr w14:paraId="5A97C09D">
        <w:trPr>
          <w:trHeight w:val="5031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FC1BBA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12A49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项目概况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AC6983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目前盈创动力公司信息化硬件设备托管在中国西部信息中心（地址：四川省成都市高新区益州大道中段中国电信中国西部信息中心）运行，为了能够保障原托管服务到期后公司各信息化系统的正常对外服务，现对服务需求进行预询价工作，具体内容如下：</w:t>
            </w:r>
          </w:p>
          <w:p w14:paraId="6B439230">
            <w:pPr>
              <w:widowControl/>
              <w:numPr>
                <w:numId w:val="0"/>
              </w:numPr>
              <w:textAlignment w:val="baseline"/>
              <w:rPr>
                <w:rFonts w:hint="eastAsia" w:ascii="仿宋_GB2312" w:hAnsi="宋体" w:eastAsia="仿宋_GB2312" w:cs="宋体"/>
                <w:b/>
                <w:bCs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333333"/>
                <w:kern w:val="0"/>
                <w:sz w:val="24"/>
                <w:szCs w:val="32"/>
                <w:lang w:val="en-US" w:eastAsia="zh-CN"/>
              </w:rPr>
              <w:t>采购需求</w:t>
            </w:r>
          </w:p>
          <w:p w14:paraId="19F395C1">
            <w:pPr>
              <w:widowControl/>
              <w:numPr>
                <w:ilvl w:val="0"/>
                <w:numId w:val="1"/>
              </w:numPr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拟租用3个IDC机房机柜（3个机柜并排排列，每个机柜为42U 标准机柜，提供两路来自独立来源UPS输出的25A/220V电源，保证单机柜功率至少满足4KW）；</w:t>
            </w:r>
          </w:p>
          <w:p w14:paraId="63321695">
            <w:pPr>
              <w:widowControl/>
              <w:numPr>
                <w:ilvl w:val="0"/>
                <w:numId w:val="1"/>
              </w:numPr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新机房星级标准不低于原机房；</w:t>
            </w:r>
          </w:p>
          <w:p w14:paraId="0D2C98AB">
            <w:pPr>
              <w:widowControl/>
              <w:numPr>
                <w:ilvl w:val="0"/>
                <w:numId w:val="1"/>
              </w:numPr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如涉及搬迁服务，需保障在两天内（预计周六、周天）完成所有设备的搬迁及调试复原工作；</w:t>
            </w:r>
          </w:p>
          <w:p w14:paraId="4647C966">
            <w:pPr>
              <w:widowControl/>
              <w:numPr>
                <w:ilvl w:val="0"/>
                <w:numId w:val="1"/>
              </w:numPr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提供独享200Mbps专线带宽，提供2个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IPv4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公网地址（IPv4）、1个IPv6公网地址。</w:t>
            </w:r>
          </w:p>
          <w:p w14:paraId="17BEE40B">
            <w:pPr>
              <w:widowControl/>
              <w:numPr>
                <w:ilvl w:val="0"/>
                <w:numId w:val="1"/>
              </w:numPr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合同履行期限：3年</w:t>
            </w:r>
          </w:p>
        </w:tc>
      </w:tr>
      <w:tr w14:paraId="078F008E">
        <w:trPr>
          <w:trHeight w:val="1128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541B2C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FA057E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资格要求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158025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1、具有独立承担民事责任的能力。</w:t>
            </w:r>
          </w:p>
          <w:p w14:paraId="3B0F707C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  <w:t>2、具有良好的商业信誉。</w:t>
            </w:r>
          </w:p>
          <w:p w14:paraId="05A20DFD">
            <w:pPr>
              <w:widowControl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  <w:t>3、具有履行合同所必需的专业技术能力。</w:t>
            </w:r>
          </w:p>
        </w:tc>
      </w:tr>
      <w:tr w14:paraId="50B54621">
        <w:trPr>
          <w:trHeight w:val="934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7F627B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48C08B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备注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4D52D3">
            <w:pPr>
              <w:widowControl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报价单位应充分考虑整个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预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询价过程综合多种风险因素来确定报价，一次性报价包含完成本项目的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所有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服务</w:t>
            </w: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  <w:t>、工具使用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等一切费用。</w:t>
            </w:r>
          </w:p>
        </w:tc>
      </w:tr>
    </w:tbl>
    <w:p w14:paraId="143C51B2">
      <w:pPr>
        <w:widowControl/>
        <w:spacing w:line="520" w:lineRule="exact"/>
        <w:ind w:firstLine="643" w:firstLineChars="200"/>
        <w:textAlignment w:val="baseline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bCs/>
          <w:color w:val="000000"/>
          <w:kern w:val="0"/>
          <w:sz w:val="32"/>
          <w:szCs w:val="32"/>
        </w:rPr>
        <w:t>注：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报价文件请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加盖公章后送盈创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动力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公司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信息技术部（邮寄或线下递交均可）</w:t>
      </w: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  <w:t>。</w:t>
      </w:r>
    </w:p>
    <w:p w14:paraId="66CEAF63">
      <w:pPr>
        <w:widowControl/>
        <w:spacing w:line="520" w:lineRule="exac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三、</w:t>
      </w: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  <w:lang w:val="en-US" w:eastAsia="zh-CN"/>
        </w:rPr>
        <w:t>预询价</w:t>
      </w: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报价函</w:t>
      </w:r>
    </w:p>
    <w:p w14:paraId="536CCE23">
      <w:pPr>
        <w:widowControl/>
        <w:spacing w:line="520" w:lineRule="exact"/>
        <w:ind w:firstLine="480"/>
        <w:textAlignment w:val="baseline"/>
        <w:rPr>
          <w:rFonts w:hint="default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请按照给出的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“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预询价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报价函”模式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进行报价，未按模式要求的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作废处理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。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同时与营业执照复印件（加盖公章）一同提交。</w:t>
      </w:r>
    </w:p>
    <w:p w14:paraId="63F08500">
      <w:pPr>
        <w:widowControl/>
        <w:spacing w:line="520" w:lineRule="exac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四、联系地址</w:t>
      </w:r>
    </w:p>
    <w:p w14:paraId="0BBD479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四川省成都市高新区和乐三街与锦和路口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ai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 xml:space="preserve">创新中心D2盈创动力大厦4楼  </w:t>
      </w:r>
    </w:p>
    <w:p w14:paraId="1001703F">
      <w:pPr>
        <w:widowControl/>
        <w:spacing w:line="520" w:lineRule="exac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五、联系人及电话</w:t>
      </w:r>
    </w:p>
    <w:p w14:paraId="18F4C35C">
      <w:pPr>
        <w:widowControl/>
        <w:spacing w:line="520" w:lineRule="exact"/>
        <w:ind w:firstLine="48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信息技术部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：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范波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 xml:space="preserve">  电话：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15208278978</w:t>
      </w:r>
    </w:p>
    <w:p w14:paraId="1C0989A6">
      <w:pPr>
        <w:widowControl/>
        <w:spacing w:line="520" w:lineRule="exact"/>
        <w:ind w:firstLine="48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</w:pPr>
    </w:p>
    <w:p w14:paraId="557DBD49">
      <w:pPr>
        <w:widowControl/>
        <w:spacing w:line="520" w:lineRule="exact"/>
        <w:ind w:firstLine="480"/>
        <w:textAlignment w:val="baseline"/>
        <w:rPr>
          <w:rFonts w:hint="default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</w:pPr>
    </w:p>
    <w:p w14:paraId="028D1C99">
      <w:pPr>
        <w:widowControl/>
        <w:spacing w:line="520" w:lineRule="exact"/>
        <w:ind w:right="164"/>
        <w:jc w:val="right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成都高投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盈创动力投资发展有限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公司</w:t>
      </w:r>
    </w:p>
    <w:p w14:paraId="64C83FAD">
      <w:pPr>
        <w:widowControl/>
        <w:wordWrap w:val="0"/>
        <w:spacing w:line="520" w:lineRule="exact"/>
        <w:ind w:right="164"/>
        <w:jc w:val="righ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20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2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年</w:t>
      </w:r>
      <w:r>
        <w:rPr>
          <w:rFonts w:hint="eastAsia" w:ascii="仿宋_GB2312" w:hAnsi="inherit" w:eastAsia="仿宋_GB2312" w:cs="宋体"/>
          <w:color w:val="000000"/>
          <w:kern w:val="0"/>
          <w:sz w:val="32"/>
          <w:szCs w:val="32"/>
          <w:lang w:val="en-US" w:eastAsia="zh-CN"/>
        </w:rPr>
        <w:t>7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月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15</w:t>
      </w:r>
      <w:r>
        <w:rPr>
          <w:rFonts w:hint="eastAsia" w:ascii="仿宋_GB2312" w:hAnsi="inherit" w:eastAsia="仿宋_GB2312" w:cs="宋体"/>
          <w:color w:val="000000"/>
          <w:kern w:val="0"/>
          <w:sz w:val="32"/>
          <w:szCs w:val="32"/>
        </w:rPr>
        <w:t xml:space="preserve">日    </w:t>
      </w:r>
    </w:p>
    <w:p w14:paraId="2052105B">
      <w:pPr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  <w:br w:type="page"/>
      </w:r>
    </w:p>
    <w:p w14:paraId="09D488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仿宋" w:hAnsi="仿宋" w:eastAsia="仿宋" w:cs="微软雅黑"/>
          <w:b/>
          <w:bCs/>
          <w:sz w:val="44"/>
          <w:szCs w:val="44"/>
          <w:lang w:val="en-US" w:eastAsia="zh-CN"/>
        </w:rPr>
      </w:pPr>
      <w:r>
        <w:rPr>
          <w:rFonts w:hint="default" w:ascii="仿宋" w:hAnsi="仿宋" w:eastAsia="仿宋" w:cs="微软雅黑"/>
          <w:b/>
          <w:bCs/>
          <w:sz w:val="44"/>
          <w:szCs w:val="44"/>
          <w:lang w:val="en-US" w:eastAsia="zh-CN"/>
        </w:rPr>
        <w:t>盈创动力信息化硬件设备机房托管服务(2025-2028年)</w:t>
      </w:r>
    </w:p>
    <w:tbl>
      <w:tblPr>
        <w:tblStyle w:val="2"/>
        <w:tblW w:w="917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4"/>
        <w:gridCol w:w="5924"/>
        <w:gridCol w:w="1768"/>
      </w:tblGrid>
      <w:tr w14:paraId="47A6C6CE">
        <w:trPr>
          <w:trHeight w:val="679" w:hRule="atLeast"/>
          <w:jc w:val="center"/>
        </w:trPr>
        <w:tc>
          <w:tcPr>
            <w:tcW w:w="1484" w:type="dxa"/>
            <w:shd w:val="clear" w:color="auto" w:fill="auto"/>
            <w:vAlign w:val="center"/>
          </w:tcPr>
          <w:p w14:paraId="1266F484">
            <w:pPr>
              <w:widowControl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7692" w:type="dxa"/>
            <w:gridSpan w:val="2"/>
            <w:shd w:val="clear" w:color="auto" w:fill="auto"/>
            <w:vAlign w:val="center"/>
          </w:tcPr>
          <w:p w14:paraId="17632E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黑体" w:hAnsi="黑体" w:eastAsia="黑体" w:cs="黑体"/>
                <w:b w:val="0"/>
                <w:bCs w:val="0"/>
                <w:sz w:val="44"/>
                <w:szCs w:val="44"/>
              </w:rPr>
              <w:t xml:space="preserve"> </w:t>
            </w: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/>
              </w:rPr>
              <w:t>盈创动力信息化硬件设备机房托管服务(2025-2028年)</w:t>
            </w:r>
          </w:p>
        </w:tc>
      </w:tr>
      <w:tr w14:paraId="08ECB46E">
        <w:trPr>
          <w:trHeight w:val="679" w:hRule="atLeast"/>
          <w:jc w:val="center"/>
        </w:trPr>
        <w:tc>
          <w:tcPr>
            <w:tcW w:w="1484" w:type="dxa"/>
            <w:shd w:val="clear" w:color="auto" w:fill="auto"/>
            <w:vAlign w:val="center"/>
          </w:tcPr>
          <w:p w14:paraId="66C0B1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机构（公司）名称</w:t>
            </w:r>
          </w:p>
        </w:tc>
        <w:tc>
          <w:tcPr>
            <w:tcW w:w="5924" w:type="dxa"/>
            <w:shd w:val="clear" w:color="auto" w:fill="auto"/>
            <w:vAlign w:val="center"/>
          </w:tcPr>
          <w:p w14:paraId="1D24F5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768" w:type="dxa"/>
            <w:shd w:val="clear" w:color="auto" w:fill="auto"/>
            <w:vAlign w:val="center"/>
          </w:tcPr>
          <w:p w14:paraId="616F0E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报价：</w:t>
            </w:r>
          </w:p>
          <w:p w14:paraId="1BC157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单位：万元</w:t>
            </w:r>
          </w:p>
        </w:tc>
      </w:tr>
      <w:tr w14:paraId="0E5F439B">
        <w:trPr>
          <w:trHeight w:val="6443" w:hRule="atLeast"/>
          <w:jc w:val="center"/>
        </w:trPr>
        <w:tc>
          <w:tcPr>
            <w:tcW w:w="1484" w:type="dxa"/>
            <w:shd w:val="clear" w:color="auto" w:fill="auto"/>
            <w:vAlign w:val="center"/>
          </w:tcPr>
          <w:p w14:paraId="4588F8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服务内容</w:t>
            </w:r>
          </w:p>
        </w:tc>
        <w:tc>
          <w:tcPr>
            <w:tcW w:w="5924" w:type="dxa"/>
            <w:shd w:val="clear" w:color="auto" w:fill="auto"/>
            <w:vAlign w:val="center"/>
          </w:tcPr>
          <w:p w14:paraId="1CA96E17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目前盈创动力公司信息化硬件设备托管在中国西部信息中心（地址：四川省成都市高新区益州大道中段中国电信中国西部信息中心）运行，为了能够保障原托管服务到期后公司各信息化系统的正常对外服务，现对服务需求进行预询价工作，具体内容如下：</w:t>
            </w:r>
          </w:p>
          <w:p w14:paraId="0BF43FC7">
            <w:pPr>
              <w:widowControl/>
              <w:numPr>
                <w:ilvl w:val="0"/>
                <w:numId w:val="0"/>
              </w:numPr>
              <w:textAlignment w:val="baseline"/>
              <w:rPr>
                <w:rFonts w:hint="eastAsia" w:ascii="仿宋_GB2312" w:hAnsi="宋体" w:eastAsia="仿宋_GB2312" w:cs="宋体"/>
                <w:b/>
                <w:bCs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333333"/>
                <w:kern w:val="0"/>
                <w:sz w:val="24"/>
                <w:szCs w:val="32"/>
                <w:lang w:val="en-US" w:eastAsia="zh-CN"/>
              </w:rPr>
              <w:t>采购需求</w:t>
            </w:r>
          </w:p>
          <w:p w14:paraId="104D751A">
            <w:pPr>
              <w:widowControl/>
              <w:numPr>
                <w:ilvl w:val="0"/>
                <w:numId w:val="2"/>
              </w:numPr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拟租用3个IDC机房机柜（3个机柜并排排列，每个机柜为42U 标准机柜，提供两路来自独立来源UPS输出的25A/220V电源，保证单机柜功率至少满足4KW）；</w:t>
            </w:r>
          </w:p>
          <w:p w14:paraId="6FF255A2">
            <w:pPr>
              <w:widowControl/>
              <w:numPr>
                <w:ilvl w:val="0"/>
                <w:numId w:val="2"/>
              </w:numPr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新机房星级标准不低于原机房；</w:t>
            </w:r>
          </w:p>
          <w:p w14:paraId="0CE132EC">
            <w:pPr>
              <w:widowControl/>
              <w:numPr>
                <w:ilvl w:val="0"/>
                <w:numId w:val="2"/>
              </w:numPr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如涉及搬迁服务，需保障在两天内（预计周六、周天）完成所有设备的搬迁及调试复原工作；</w:t>
            </w:r>
          </w:p>
          <w:p w14:paraId="5707FB63">
            <w:pPr>
              <w:widowControl/>
              <w:numPr>
                <w:ilvl w:val="0"/>
                <w:numId w:val="2"/>
              </w:numPr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提供独享200Mbps专线带宽，提供2个IPv4公网地址、1个IPv6公网地址。</w:t>
            </w:r>
          </w:p>
          <w:p w14:paraId="6A518C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仿宋" w:hAnsi="仿宋" w:eastAsia="仿宋" w:cs="仿宋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（5）</w:t>
            </w: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合同履行期限：3年</w:t>
            </w:r>
          </w:p>
        </w:tc>
        <w:tc>
          <w:tcPr>
            <w:tcW w:w="1768" w:type="dxa"/>
            <w:shd w:val="clear" w:color="auto" w:fill="auto"/>
            <w:vAlign w:val="center"/>
          </w:tcPr>
          <w:p w14:paraId="29E8D1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 w:val="0"/>
                <w:sz w:val="32"/>
                <w:szCs w:val="32"/>
                <w:lang w:val="en-US" w:eastAsia="zh-CN"/>
              </w:rPr>
            </w:pPr>
          </w:p>
        </w:tc>
      </w:tr>
      <w:tr w14:paraId="723FCFD2">
        <w:trPr>
          <w:trHeight w:val="865" w:hRule="atLeast"/>
          <w:jc w:val="center"/>
        </w:trPr>
        <w:tc>
          <w:tcPr>
            <w:tcW w:w="1484" w:type="dxa"/>
            <w:shd w:val="clear" w:color="auto" w:fill="auto"/>
            <w:vAlign w:val="center"/>
          </w:tcPr>
          <w:p w14:paraId="058442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总价（</w:t>
            </w: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/>
              </w:rPr>
              <w:t>万元</w:t>
            </w: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）</w:t>
            </w:r>
          </w:p>
        </w:tc>
        <w:tc>
          <w:tcPr>
            <w:tcW w:w="5924" w:type="dxa"/>
            <w:shd w:val="clear" w:color="auto" w:fill="auto"/>
            <w:vAlign w:val="center"/>
          </w:tcPr>
          <w:p w14:paraId="4280DD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*****万元（大写：*****）</w:t>
            </w:r>
            <w:bookmarkStart w:id="0" w:name="_GoBack"/>
            <w:bookmarkEnd w:id="0"/>
          </w:p>
        </w:tc>
        <w:tc>
          <w:tcPr>
            <w:tcW w:w="1768" w:type="dxa"/>
            <w:shd w:val="clear" w:color="auto" w:fill="auto"/>
            <w:vAlign w:val="center"/>
          </w:tcPr>
          <w:p w14:paraId="5A7E8E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</w:pPr>
          </w:p>
        </w:tc>
      </w:tr>
    </w:tbl>
    <w:p w14:paraId="1A8B2252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  <w:lang w:val="en-US" w:eastAsia="zh-CN"/>
        </w:rPr>
      </w:pPr>
    </w:p>
    <w:p w14:paraId="4A95E5CD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  <w:lang w:val="en-US" w:eastAsia="zh-CN"/>
        </w:rPr>
        <w:t>单位</w:t>
      </w:r>
      <w:r>
        <w:rPr>
          <w:rFonts w:hint="eastAsia" w:ascii="仿宋" w:hAnsi="仿宋" w:eastAsia="仿宋" w:cs="Times New Roman"/>
          <w:bCs/>
          <w:sz w:val="28"/>
          <w:szCs w:val="28"/>
        </w:rPr>
        <w:t>名称（盖章）：</w:t>
      </w:r>
    </w:p>
    <w:p w14:paraId="5745DAC2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法定代表人或授权代表签字（签字或盖章）：</w:t>
      </w:r>
    </w:p>
    <w:p w14:paraId="38A65518">
      <w:pPr>
        <w:spacing w:line="360" w:lineRule="auto"/>
      </w:pPr>
      <w:r>
        <w:rPr>
          <w:rFonts w:hint="eastAsia" w:ascii="仿宋" w:hAnsi="仿宋" w:eastAsia="仿宋" w:cs="Times New Roman"/>
          <w:bCs/>
          <w:sz w:val="28"/>
          <w:szCs w:val="28"/>
        </w:rPr>
        <w:t>日期：</w:t>
      </w:r>
      <w:r>
        <w:rPr>
          <w:rFonts w:hint="eastAsia" w:ascii="仿宋" w:hAnsi="仿宋" w:eastAsia="仿宋" w:cs="Times New Roman"/>
          <w:bCs/>
          <w:sz w:val="28"/>
          <w:szCs w:val="28"/>
          <w:lang w:val="en-US" w:eastAsia="zh-CN"/>
        </w:rPr>
        <w:t>2025年x月xx日</w:t>
      </w:r>
    </w:p>
    <w:sectPr>
      <w:pgSz w:w="11906" w:h="16838"/>
      <w:pgMar w:top="1440" w:right="1800" w:bottom="851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FZXiaoBiaoSong-B05S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FZHei-B01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FZKai-Z03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FZFangSong-Z02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inherit">
    <w:altName w:val="苹方-简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黑体">
    <w:altName w:val="汉仪中黑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报隶-繁">
    <w:panose1 w:val="02010600040101010101"/>
    <w:charset w:val="86"/>
    <w:family w:val="auto"/>
    <w:pitch w:val="default"/>
    <w:sig w:usb0="80000287" w:usb1="280F3C52" w:usb2="00000016" w:usb3="00000000" w:csb0="0004001F" w:csb1="00000000"/>
  </w:font>
  <w:font w:name="Hannotate TC Regular">
    <w:panose1 w:val="03000500000000000000"/>
    <w:charset w:val="86"/>
    <w:family w:val="auto"/>
    <w:pitch w:val="default"/>
    <w:sig w:usb0="A00002FF" w:usb1="7ACF7CFB" w:usb2="00000016" w:usb3="00000000" w:csb0="00040001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Arial">
    <w:panose1 w:val="020B0604020202090204"/>
    <w:charset w:val="00"/>
    <w:family w:val="auto"/>
    <w:pitch w:val="default"/>
    <w:sig w:usb0="E0000AFF" w:usb1="00007843" w:usb2="00000001" w:usb3="00000000" w:csb0="400001BF" w:csb1="DFF70000"/>
  </w:font>
  <w:font w:name="Microsoft YaHei">
    <w:panose1 w:val="020B0503020204020204"/>
    <w:charset w:val="86"/>
    <w:family w:val="auto"/>
    <w:pitch w:val="default"/>
    <w:sig w:usb0="80000287" w:usb1="2A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ECE9F89"/>
    <w:multiLevelType w:val="singleLevel"/>
    <w:tmpl w:val="EECE9F89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FFEDE48A"/>
    <w:multiLevelType w:val="singleLevel"/>
    <w:tmpl w:val="FFEDE48A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FF6736"/>
    <w:rsid w:val="149BC98C"/>
    <w:rsid w:val="1BFE8218"/>
    <w:rsid w:val="1CFE8FC6"/>
    <w:rsid w:val="377BA3D6"/>
    <w:rsid w:val="377FCF75"/>
    <w:rsid w:val="3F535491"/>
    <w:rsid w:val="3FFE7207"/>
    <w:rsid w:val="3FFF1ABF"/>
    <w:rsid w:val="3FFF6736"/>
    <w:rsid w:val="486736C3"/>
    <w:rsid w:val="4AFDF7ED"/>
    <w:rsid w:val="4D97E5AB"/>
    <w:rsid w:val="4DFE0366"/>
    <w:rsid w:val="55F3586B"/>
    <w:rsid w:val="567BD31A"/>
    <w:rsid w:val="56EA0065"/>
    <w:rsid w:val="5BF5A489"/>
    <w:rsid w:val="5CFF3241"/>
    <w:rsid w:val="5D5291D1"/>
    <w:rsid w:val="5FBF320A"/>
    <w:rsid w:val="63E7A18D"/>
    <w:rsid w:val="68FFBAC2"/>
    <w:rsid w:val="6AAC73A7"/>
    <w:rsid w:val="6AF7CBA3"/>
    <w:rsid w:val="6CFFC35D"/>
    <w:rsid w:val="6DFB966F"/>
    <w:rsid w:val="6EFD7881"/>
    <w:rsid w:val="6EFF636E"/>
    <w:rsid w:val="6FD5836D"/>
    <w:rsid w:val="6FFF5CD8"/>
    <w:rsid w:val="71677131"/>
    <w:rsid w:val="747B29EC"/>
    <w:rsid w:val="75292D9A"/>
    <w:rsid w:val="7537303E"/>
    <w:rsid w:val="778F81AE"/>
    <w:rsid w:val="77BFB454"/>
    <w:rsid w:val="77C568C0"/>
    <w:rsid w:val="78FDDD8D"/>
    <w:rsid w:val="7AEB6BF2"/>
    <w:rsid w:val="7B6E846D"/>
    <w:rsid w:val="7BDB099C"/>
    <w:rsid w:val="7BFF9D31"/>
    <w:rsid w:val="7CE792AE"/>
    <w:rsid w:val="7CF62019"/>
    <w:rsid w:val="7D3E1424"/>
    <w:rsid w:val="7DE3BD80"/>
    <w:rsid w:val="7E1D629D"/>
    <w:rsid w:val="7EFF3C88"/>
    <w:rsid w:val="7F3FFFF6"/>
    <w:rsid w:val="7FB84ACA"/>
    <w:rsid w:val="7FD5C647"/>
    <w:rsid w:val="7FEEF73E"/>
    <w:rsid w:val="7FF6EAE0"/>
    <w:rsid w:val="7FF7F848"/>
    <w:rsid w:val="7FFA84A1"/>
    <w:rsid w:val="7FFE6743"/>
    <w:rsid w:val="7FFFACCB"/>
    <w:rsid w:val="A61BAAF0"/>
    <w:rsid w:val="A99D6C8D"/>
    <w:rsid w:val="AAEFBE22"/>
    <w:rsid w:val="ADD815D2"/>
    <w:rsid w:val="AF976BCA"/>
    <w:rsid w:val="B77FAD74"/>
    <w:rsid w:val="BAF6E39A"/>
    <w:rsid w:val="BD8EF7C9"/>
    <w:rsid w:val="BDD7AB69"/>
    <w:rsid w:val="BF7FE3D9"/>
    <w:rsid w:val="BFCFE755"/>
    <w:rsid w:val="BFFAAEFA"/>
    <w:rsid w:val="C7BAA2B7"/>
    <w:rsid w:val="CE7E2965"/>
    <w:rsid w:val="CF774068"/>
    <w:rsid w:val="D379676F"/>
    <w:rsid w:val="D3F69D1C"/>
    <w:rsid w:val="D9FFC87A"/>
    <w:rsid w:val="DCAFF3FD"/>
    <w:rsid w:val="DDAECE63"/>
    <w:rsid w:val="DEF671C2"/>
    <w:rsid w:val="DF8D9E57"/>
    <w:rsid w:val="DFF96FEF"/>
    <w:rsid w:val="DFFF0208"/>
    <w:rsid w:val="E34FD5C1"/>
    <w:rsid w:val="E5FAD203"/>
    <w:rsid w:val="E7BD1610"/>
    <w:rsid w:val="EDFF0607"/>
    <w:rsid w:val="EDFFDFEB"/>
    <w:rsid w:val="EE7FAC1A"/>
    <w:rsid w:val="EFD6FC63"/>
    <w:rsid w:val="EFDE694A"/>
    <w:rsid w:val="F1FD5D99"/>
    <w:rsid w:val="F26FC7B3"/>
    <w:rsid w:val="F3FF7896"/>
    <w:rsid w:val="F4BBAACD"/>
    <w:rsid w:val="F5FA0AD8"/>
    <w:rsid w:val="F6DB6CE2"/>
    <w:rsid w:val="F76F05A0"/>
    <w:rsid w:val="F77F0679"/>
    <w:rsid w:val="F79BA4D6"/>
    <w:rsid w:val="F7FB9C3B"/>
    <w:rsid w:val="F9F2B942"/>
    <w:rsid w:val="FB9F7039"/>
    <w:rsid w:val="FCCC2254"/>
    <w:rsid w:val="FDBC0D05"/>
    <w:rsid w:val="FDF60032"/>
    <w:rsid w:val="FF2E4B39"/>
    <w:rsid w:val="FF4FAC47"/>
    <w:rsid w:val="FFCF8826"/>
    <w:rsid w:val="FFD79CE5"/>
    <w:rsid w:val="FFF17A99"/>
    <w:rsid w:val="FFF790F9"/>
    <w:rsid w:val="FFFF1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Office_12.1.21861.21861_F1E327BC-269C-435d-A152-05C5408002CA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2025-04-06T19:38:00Z</dcterms:created>
  <dc:creator>妲己♥已成精</dc:creator>
  <cp:lastModifiedBy>Rising land--LUK</cp:lastModifiedBy>
  <dcterms:modified xsi:type="dcterms:W3CDTF">2025-07-15T11:46:33Z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2052-12.1.21861.21861</vt:lpwstr>
  </property>
  <property fmtid="{D5CDD505-2E9C-101B-9397-08002B2CF9AE}" pid="3" name="ICV">
    <vt:lpwstr>C342F1A9F12B1B023624EE67ECB24210_43</vt:lpwstr>
  </property>
</Properties>
</file>