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B515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  <w:t>国家统一技术交易服务平台项目</w:t>
      </w:r>
    </w:p>
    <w:p w14:paraId="37FEB6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  <w:t>审计服务</w:t>
      </w:r>
    </w:p>
    <w:p w14:paraId="12ECFD6A">
      <w:pPr>
        <w:jc w:val="center"/>
        <w:rPr>
          <w:rFonts w:hint="eastAsia" w:ascii="黑体" w:hAnsi="黑体" w:eastAsia="黑体" w:cs="黑体"/>
          <w:spacing w:val="-20"/>
          <w:sz w:val="44"/>
          <w:szCs w:val="44"/>
        </w:rPr>
      </w:pPr>
    </w:p>
    <w:p w14:paraId="242E3870">
      <w:pPr>
        <w:jc w:val="center"/>
        <w:rPr>
          <w:rFonts w:hint="eastAsia" w:ascii="黑体" w:hAnsi="黑体" w:eastAsia="黑体" w:cs="黑体"/>
          <w:spacing w:val="-20"/>
          <w:sz w:val="96"/>
          <w:szCs w:val="44"/>
        </w:rPr>
      </w:pPr>
      <w:r>
        <w:rPr>
          <w:rFonts w:hint="eastAsia" w:ascii="黑体" w:hAnsi="黑体" w:eastAsia="黑体" w:cs="黑体"/>
          <w:spacing w:val="-20"/>
          <w:sz w:val="96"/>
          <w:szCs w:val="44"/>
        </w:rPr>
        <w:t>询</w:t>
      </w:r>
    </w:p>
    <w:p w14:paraId="782ADAE4">
      <w:pPr>
        <w:jc w:val="center"/>
        <w:rPr>
          <w:rFonts w:hint="eastAsia" w:ascii="黑体" w:hAnsi="黑体" w:eastAsia="黑体" w:cs="黑体"/>
          <w:spacing w:val="-20"/>
          <w:sz w:val="96"/>
          <w:szCs w:val="44"/>
        </w:rPr>
      </w:pPr>
      <w:r>
        <w:rPr>
          <w:rFonts w:hint="eastAsia" w:ascii="黑体" w:hAnsi="黑体" w:eastAsia="黑体" w:cs="黑体"/>
          <w:spacing w:val="-20"/>
          <w:sz w:val="96"/>
          <w:szCs w:val="44"/>
        </w:rPr>
        <w:t>价</w:t>
      </w:r>
    </w:p>
    <w:p w14:paraId="447D9599">
      <w:pPr>
        <w:jc w:val="center"/>
        <w:rPr>
          <w:rFonts w:hint="eastAsia" w:ascii="黑体" w:hAnsi="黑体" w:eastAsia="黑体" w:cs="黑体"/>
          <w:spacing w:val="-20"/>
          <w:sz w:val="96"/>
          <w:szCs w:val="44"/>
        </w:rPr>
      </w:pPr>
      <w:r>
        <w:rPr>
          <w:rFonts w:hint="eastAsia" w:ascii="黑体" w:hAnsi="黑体" w:eastAsia="黑体" w:cs="黑体"/>
          <w:spacing w:val="-20"/>
          <w:sz w:val="96"/>
          <w:szCs w:val="44"/>
        </w:rPr>
        <w:t>文</w:t>
      </w:r>
    </w:p>
    <w:p w14:paraId="01D1D966">
      <w:pPr>
        <w:jc w:val="center"/>
        <w:rPr>
          <w:rFonts w:hint="eastAsia" w:ascii="黑体" w:hAnsi="黑体" w:eastAsia="黑体" w:cs="黑体"/>
          <w:spacing w:val="-20"/>
          <w:sz w:val="96"/>
          <w:szCs w:val="44"/>
        </w:rPr>
      </w:pPr>
      <w:r>
        <w:rPr>
          <w:rFonts w:hint="eastAsia" w:ascii="黑体" w:hAnsi="黑体" w:eastAsia="黑体" w:cs="黑体"/>
          <w:spacing w:val="-20"/>
          <w:sz w:val="96"/>
          <w:szCs w:val="44"/>
        </w:rPr>
        <w:t>件</w:t>
      </w:r>
    </w:p>
    <w:p w14:paraId="45DB2044">
      <w:pPr>
        <w:spacing w:line="560" w:lineRule="exact"/>
        <w:jc w:val="center"/>
        <w:rPr>
          <w:rFonts w:hint="eastAsia" w:ascii="黑体" w:hAnsi="黑体" w:eastAsia="黑体" w:cs="黑体"/>
          <w:spacing w:val="-20"/>
          <w:sz w:val="72"/>
          <w:szCs w:val="44"/>
        </w:rPr>
      </w:pPr>
    </w:p>
    <w:p w14:paraId="0A429601">
      <w:pPr>
        <w:spacing w:line="560" w:lineRule="exact"/>
        <w:jc w:val="center"/>
        <w:rPr>
          <w:rFonts w:hint="eastAsia" w:ascii="黑体" w:hAnsi="黑体" w:eastAsia="黑体" w:cs="黑体"/>
          <w:spacing w:val="-20"/>
          <w:sz w:val="72"/>
          <w:szCs w:val="44"/>
        </w:rPr>
      </w:pPr>
    </w:p>
    <w:p w14:paraId="4EE5B013">
      <w:pPr>
        <w:rPr>
          <w:rFonts w:hint="eastAsia" w:ascii="黑体" w:hAnsi="黑体" w:eastAsia="黑体" w:cs="黑体"/>
          <w:spacing w:val="-20"/>
          <w:sz w:val="36"/>
          <w:szCs w:val="44"/>
        </w:rPr>
      </w:pPr>
    </w:p>
    <w:p w14:paraId="7C6FE8E1">
      <w:pPr>
        <w:spacing w:line="560" w:lineRule="exact"/>
        <w:jc w:val="center"/>
        <w:rPr>
          <w:rFonts w:hint="eastAsia" w:ascii="黑体" w:hAnsi="黑体" w:eastAsia="黑体" w:cs="黑体"/>
          <w:spacing w:val="-20"/>
          <w:sz w:val="36"/>
          <w:szCs w:val="44"/>
        </w:rPr>
      </w:pPr>
      <w:r>
        <w:rPr>
          <w:rFonts w:hint="eastAsia" w:ascii="黑体" w:hAnsi="黑体" w:eastAsia="黑体" w:cs="黑体"/>
          <w:spacing w:val="-20"/>
          <w:sz w:val="36"/>
          <w:szCs w:val="44"/>
        </w:rPr>
        <w:t>成都高投盈创动力投资发展有限公司</w:t>
      </w:r>
    </w:p>
    <w:p w14:paraId="6D23F4D8">
      <w:pPr>
        <w:spacing w:line="560" w:lineRule="exact"/>
        <w:jc w:val="center"/>
        <w:rPr>
          <w:rFonts w:hint="eastAsia" w:ascii="黑体" w:hAnsi="黑体" w:eastAsia="黑体" w:cs="黑体"/>
          <w:spacing w:val="-20"/>
          <w:sz w:val="36"/>
          <w:szCs w:val="44"/>
        </w:rPr>
      </w:pPr>
      <w:r>
        <w:rPr>
          <w:rFonts w:hint="eastAsia" w:ascii="黑体" w:hAnsi="黑体" w:eastAsia="黑体" w:cs="黑体"/>
          <w:spacing w:val="-20"/>
          <w:sz w:val="36"/>
          <w:szCs w:val="44"/>
        </w:rPr>
        <w:t>202</w:t>
      </w:r>
      <w:r>
        <w:rPr>
          <w:rFonts w:hint="eastAsia" w:ascii="黑体" w:hAnsi="黑体" w:eastAsia="黑体" w:cs="黑体"/>
          <w:spacing w:val="-20"/>
          <w:sz w:val="36"/>
          <w:szCs w:val="44"/>
          <w:lang w:val="en-US" w:eastAsia="zh-CN"/>
        </w:rPr>
        <w:t>5</w:t>
      </w:r>
      <w:r>
        <w:rPr>
          <w:rFonts w:hint="eastAsia" w:ascii="黑体" w:hAnsi="黑体" w:eastAsia="黑体" w:cs="黑体"/>
          <w:spacing w:val="-20"/>
          <w:sz w:val="36"/>
          <w:szCs w:val="44"/>
        </w:rPr>
        <w:t>年</w:t>
      </w:r>
      <w:r>
        <w:rPr>
          <w:rFonts w:hint="eastAsia" w:ascii="黑体" w:hAnsi="黑体" w:eastAsia="黑体" w:cs="黑体"/>
          <w:spacing w:val="-20"/>
          <w:sz w:val="36"/>
          <w:szCs w:val="44"/>
          <w:lang w:val="en-US" w:eastAsia="zh-CN"/>
        </w:rPr>
        <w:t>10</w:t>
      </w:r>
      <w:r>
        <w:rPr>
          <w:rFonts w:hint="eastAsia" w:ascii="黑体" w:hAnsi="黑体" w:eastAsia="黑体" w:cs="黑体"/>
          <w:spacing w:val="-20"/>
          <w:sz w:val="36"/>
          <w:szCs w:val="44"/>
        </w:rPr>
        <w:t>月</w:t>
      </w:r>
    </w:p>
    <w:p w14:paraId="64718F43">
      <w:pPr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5C9CC0F">
      <w:pPr>
        <w:widowControl/>
        <w:jc w:val="left"/>
        <w:rPr>
          <w:rFonts w:hint="eastAsia" w:ascii="方正小标宋简体" w:eastAsia="方正小标宋简体"/>
          <w:spacing w:val="-20"/>
          <w:sz w:val="36"/>
          <w:szCs w:val="44"/>
        </w:rPr>
      </w:pPr>
    </w:p>
    <w:p w14:paraId="3AA12454">
      <w:pP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br w:type="page"/>
      </w:r>
    </w:p>
    <w:p w14:paraId="0703655E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一、</w:t>
      </w:r>
      <w:r>
        <w:rPr>
          <w:rFonts w:hint="eastAsia" w:ascii="仿宋_GB2312" w:hAnsi="黑体" w:eastAsia="仿宋_GB2312" w:cs="宋体"/>
          <w:b/>
          <w:bCs/>
          <w:color w:val="000000"/>
          <w:kern w:val="0"/>
          <w:sz w:val="32"/>
          <w:szCs w:val="32"/>
        </w:rPr>
        <w:t>注意事项</w:t>
      </w:r>
    </w:p>
    <w:p w14:paraId="582748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tLeast"/>
        <w:ind w:firstLine="640" w:firstLineChars="200"/>
        <w:textAlignment w:val="baseline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报价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单位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应就以下询价要求，在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202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年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11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月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14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日下午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17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  <w:lang w:val="en-US" w:eastAsia="zh-CN"/>
        </w:rPr>
        <w:t>:</w:t>
      </w:r>
      <w:r>
        <w:rPr>
          <w:rFonts w:hint="eastAsia"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ascii="仿宋_GB2312" w:hAnsi="inherit" w:eastAsia="仿宋_GB2312" w:cs="宋体"/>
          <w:kern w:val="0"/>
          <w:sz w:val="32"/>
          <w:szCs w:val="32"/>
          <w:u w:val="single"/>
        </w:rPr>
        <w:t>0</w:t>
      </w:r>
      <w:r>
        <w:rPr>
          <w:rFonts w:hint="eastAsia" w:ascii="仿宋_GB2312" w:hAnsi="inherit" w:eastAsia="仿宋_GB2312" w:cs="宋体"/>
          <w:kern w:val="0"/>
          <w:sz w:val="32"/>
          <w:szCs w:val="32"/>
        </w:rPr>
        <w:t>时前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，向成都高投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盈创动力投资发展有限公司（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以下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简称“盈创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动力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公司”）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做出一次性书面报价。</w:t>
      </w:r>
    </w:p>
    <w:p w14:paraId="718CE693">
      <w:pPr>
        <w:widowControl/>
        <w:spacing w:line="420" w:lineRule="atLeas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黑体" w:eastAsia="仿宋_GB2312" w:cs="宋体"/>
          <w:b/>
          <w:color w:val="000000"/>
          <w:kern w:val="0"/>
          <w:sz w:val="32"/>
          <w:szCs w:val="32"/>
        </w:rPr>
        <w:t>二、询价要求</w:t>
      </w:r>
    </w:p>
    <w:tbl>
      <w:tblPr>
        <w:tblStyle w:val="3"/>
        <w:tblW w:w="861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210"/>
      </w:tblGrid>
      <w:tr w14:paraId="2541CA91">
        <w:trPr>
          <w:trHeight w:val="407" w:hRule="atLeast"/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DFA96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350D5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3C76E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黑体" w:eastAsia="仿宋_GB2312" w:cs="宋体"/>
                <w:color w:val="000000"/>
                <w:kern w:val="0"/>
                <w:sz w:val="28"/>
                <w:szCs w:val="32"/>
              </w:rPr>
              <w:t>要求</w:t>
            </w:r>
          </w:p>
        </w:tc>
      </w:tr>
      <w:tr w14:paraId="5A97C09D">
        <w:trPr>
          <w:trHeight w:val="7139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C1BBA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2A49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1E16F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项目名称：</w:t>
            </w:r>
          </w:p>
          <w:p w14:paraId="6D03F2EB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国家统一技术交易服务平台项目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审计服务</w:t>
            </w:r>
          </w:p>
          <w:p w14:paraId="2F4EF33A">
            <w:pPr>
              <w:widowControl/>
              <w:numPr>
                <w:ilvl w:val="0"/>
                <w:numId w:val="2"/>
              </w:numPr>
              <w:ind w:left="0" w:leftChars="0" w:firstLine="0" w:firstLineChars="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项目总投资（四川节点部分）</w:t>
            </w:r>
          </w:p>
          <w:p w14:paraId="30A5CCA5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1200万元</w:t>
            </w:r>
          </w:p>
          <w:p w14:paraId="1EB3D64B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服务内容</w:t>
            </w:r>
          </w:p>
          <w:p w14:paraId="682B8B7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（一）项目资金管理使用情况中期预审：开展不少于1次项目资金管理使用情况中期检查，及时发现项目预算执行、财务核算问题并提出整改建议，并提交问题清单及其整改建议。</w:t>
            </w:r>
          </w:p>
          <w:p w14:paraId="2AE766D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二）项目调整变更及预算调整事项建议：根据实际需要，为项目在发生项目目标、方案、内容、总投资、实施周期、建设地点、设备清单等调整，承担单位和负责人变更，承担单位间、预算科目间预算调剂等事项时，提供专业的咨询建议。</w:t>
            </w:r>
          </w:p>
          <w:p w14:paraId="3E01B6B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三）项目实施期间日常疑难问题解答：在项目实施过程中，协助公司解答日常遇到的各类项目财务管理和行政管理问题。根据需要在线参与公司组织的项目协调会、中期评审会、变更论证会等各类会议，并提供相关专业建议。</w:t>
            </w:r>
          </w:p>
          <w:p w14:paraId="0F2052A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（四）项目资金管理使用情况财务决算审计：项目实施完成且编制项目决算报表后，依据工信部相关资金管理办法，针对公司开展项目资金管理使用情况财务决算审计，并出具相关材料（纸质版+电子版）。</w:t>
            </w:r>
          </w:p>
          <w:p w14:paraId="18EF0A5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（五）项目验收会前后相关事项沟通支持：在项目验收会召开前，针对工信部就验收材料财务相关事项的反馈问题（若有），支持公司形成整改方案或情况说明。针对项目验收会上财务验收专家提出的疑问，协助公司与其开展专业、充分的沟通。</w:t>
            </w:r>
          </w:p>
          <w:p w14:paraId="3370C879">
            <w:pPr>
              <w:widowControl/>
              <w:numPr>
                <w:ilvl w:val="0"/>
                <w:numId w:val="2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项目</w:t>
            </w:r>
            <w:r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周期</w:t>
            </w:r>
          </w:p>
          <w:p w14:paraId="2AC05A12">
            <w:pPr>
              <w:widowControl/>
              <w:numPr>
                <w:ilvl w:val="0"/>
                <w:numId w:val="0"/>
              </w:numPr>
              <w:ind w:firstLine="48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合同签订后至2027年9月30日。</w:t>
            </w:r>
          </w:p>
          <w:p w14:paraId="1D6DC89F">
            <w:pPr>
              <w:widowControl/>
              <w:numPr>
                <w:ilvl w:val="0"/>
                <w:numId w:val="2"/>
              </w:numPr>
              <w:ind w:left="0" w:leftChars="0" w:firstLine="0" w:firstLineChars="0"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项目限价</w:t>
            </w:r>
          </w:p>
          <w:p w14:paraId="5C8A537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不超过4.06万元</w:t>
            </w:r>
          </w:p>
          <w:p w14:paraId="5C84F0C4">
            <w:pPr>
              <w:widowControl/>
              <w:numPr>
                <w:ilvl w:val="0"/>
                <w:numId w:val="0"/>
              </w:numPr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</w:p>
        </w:tc>
      </w:tr>
      <w:tr w14:paraId="078F008E">
        <w:trPr>
          <w:trHeight w:val="1565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41B2C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A057E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58025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1、具有独立承担民事责任的能力。</w:t>
            </w:r>
          </w:p>
          <w:p w14:paraId="3B0F707C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2、具有良好的商业信誉。</w:t>
            </w:r>
          </w:p>
          <w:p w14:paraId="05A20DFD">
            <w:pPr>
              <w:widowControl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3、具有履行合同所必需的专业技术能力。</w:t>
            </w:r>
          </w:p>
        </w:tc>
      </w:tr>
      <w:tr w14:paraId="50B54621">
        <w:trPr>
          <w:trHeight w:val="90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F627B">
            <w:pPr>
              <w:widowControl/>
              <w:spacing w:line="36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8C08B">
            <w:pPr>
              <w:widowControl/>
              <w:spacing w:line="420" w:lineRule="atLeast"/>
              <w:textAlignment w:val="baseline"/>
              <w:rPr>
                <w:rFonts w:hint="eastAsia" w:ascii="仿宋_GB2312" w:hAnsi="inherit" w:eastAsia="仿宋_GB2312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D52D3">
            <w:pPr>
              <w:widowControl/>
              <w:textAlignment w:val="baseline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报价单位应充分考虑整个询价过程综合多种风险因素来确定报价，一次性报价包含完成本项目的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所有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服务</w:t>
            </w:r>
            <w:r>
              <w:rPr>
                <w:rFonts w:ascii="仿宋_GB2312" w:hAnsi="宋体" w:eastAsia="仿宋_GB2312" w:cs="宋体"/>
                <w:color w:val="333333"/>
                <w:kern w:val="0"/>
                <w:sz w:val="24"/>
                <w:szCs w:val="32"/>
              </w:rPr>
              <w:t>、工具使用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</w:rPr>
              <w:t>等一切费用。</w:t>
            </w:r>
          </w:p>
          <w:p w14:paraId="52315961">
            <w:pPr>
              <w:widowControl/>
              <w:textAlignment w:val="baseline"/>
              <w:rPr>
                <w:rFonts w:hint="default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333333"/>
                <w:kern w:val="0"/>
                <w:sz w:val="24"/>
                <w:szCs w:val="32"/>
                <w:lang w:val="en-US" w:eastAsia="zh-CN"/>
              </w:rPr>
              <w:t>如有疑惑，可联系（范波，028-85225102）</w:t>
            </w:r>
          </w:p>
        </w:tc>
      </w:tr>
    </w:tbl>
    <w:p w14:paraId="143C51B2">
      <w:pPr>
        <w:widowControl/>
        <w:spacing w:line="520" w:lineRule="exact"/>
        <w:ind w:firstLine="643" w:firstLineChars="200"/>
        <w:textAlignment w:val="baseline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注：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报价文件请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u w:val="single"/>
        </w:rPr>
        <w:t>加盖公章后送盈创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u w:val="single"/>
          <w:lang w:val="en-US" w:eastAsia="zh-CN"/>
        </w:rPr>
        <w:t>动力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u w:val="single"/>
        </w:rPr>
        <w:t>公司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u w:val="single"/>
          <w:lang w:val="en-US" w:eastAsia="zh-CN"/>
        </w:rPr>
        <w:t>信息技术部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</w:rPr>
        <w:t>。</w:t>
      </w:r>
    </w:p>
    <w:p w14:paraId="66CEAF63">
      <w:pPr>
        <w:widowControl/>
        <w:spacing w:line="520" w:lineRule="exact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三、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报价函</w:t>
      </w:r>
    </w:p>
    <w:p w14:paraId="536CCE23">
      <w:pPr>
        <w:widowControl/>
        <w:spacing w:line="520" w:lineRule="exact"/>
        <w:ind w:firstLine="480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请按照给出的“报价函”模式进行报价，未按模式要求的作废处理。同时与营业执照复印件（加盖公章）一同提交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 w14:paraId="63F08500">
      <w:pPr>
        <w:widowControl/>
        <w:spacing w:line="520" w:lineRule="exact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四、联系地址</w:t>
      </w:r>
      <w:bookmarkStart w:id="0" w:name="_GoBack"/>
      <w:bookmarkEnd w:id="0"/>
    </w:p>
    <w:p w14:paraId="7D2BE554">
      <w:pPr>
        <w:widowControl/>
        <w:spacing w:line="520" w:lineRule="exact"/>
        <w:ind w:firstLine="480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四川省成都市高新区和乐三街与锦和路口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AI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创新中心D2盈创动力大厦4楼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1001703F">
      <w:pPr>
        <w:widowControl/>
        <w:spacing w:line="520" w:lineRule="exact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五、联系人及电话</w:t>
      </w:r>
    </w:p>
    <w:p w14:paraId="18F4C35C">
      <w:pPr>
        <w:widowControl/>
        <w:spacing w:line="520" w:lineRule="exact"/>
        <w:ind w:firstLine="480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信息技术部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范波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电话：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15208278978</w:t>
      </w:r>
    </w:p>
    <w:p w14:paraId="7766D710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</w:p>
    <w:p w14:paraId="0F185276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</w:p>
    <w:p w14:paraId="028D1C99">
      <w:pPr>
        <w:widowControl/>
        <w:spacing w:line="520" w:lineRule="exact"/>
        <w:ind w:right="164"/>
        <w:jc w:val="right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成都高投盈创动力投资发展有限公司</w:t>
      </w:r>
    </w:p>
    <w:p w14:paraId="64C83FAD">
      <w:pPr>
        <w:widowControl/>
        <w:wordWrap w:val="0"/>
        <w:spacing w:line="520" w:lineRule="exact"/>
        <w:ind w:right="164"/>
        <w:jc w:val="right"/>
        <w:textAlignment w:val="baseline"/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 xml:space="preserve">日  </w:t>
      </w:r>
      <w:r>
        <w:rPr>
          <w:rFonts w:hint="eastAsia" w:ascii="仿宋_GB2312" w:hAnsi="inherit" w:eastAsia="仿宋_GB2312" w:cs="宋体"/>
          <w:color w:val="000000"/>
          <w:kern w:val="0"/>
          <w:sz w:val="32"/>
          <w:szCs w:val="32"/>
        </w:rPr>
        <w:t xml:space="preserve">  </w:t>
      </w:r>
    </w:p>
    <w:p w14:paraId="2052105B">
      <w:pP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color w:val="000000"/>
          <w:kern w:val="0"/>
          <w:sz w:val="32"/>
          <w:szCs w:val="32"/>
        </w:rPr>
        <w:br w:type="page"/>
      </w:r>
    </w:p>
    <w:p w14:paraId="3F82CC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国家统一技术交易服务平台项目</w:t>
      </w:r>
    </w:p>
    <w:p w14:paraId="09D488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审计服务报价函</w:t>
      </w:r>
    </w:p>
    <w:tbl>
      <w:tblPr>
        <w:tblStyle w:val="3"/>
        <w:tblW w:w="91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6"/>
        <w:gridCol w:w="6012"/>
        <w:gridCol w:w="1768"/>
      </w:tblGrid>
      <w:tr w14:paraId="47A6C6CE">
        <w:trPr>
          <w:trHeight w:val="679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1266F484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7780" w:type="dxa"/>
            <w:gridSpan w:val="2"/>
            <w:shd w:val="clear" w:color="auto" w:fill="auto"/>
            <w:vAlign w:val="center"/>
          </w:tcPr>
          <w:p w14:paraId="1E1129E5">
            <w:pPr>
              <w:widowControl/>
              <w:spacing w:line="360" w:lineRule="auto"/>
              <w:jc w:val="both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国家统一技术交易服务平台项目审计服务</w:t>
            </w:r>
          </w:p>
        </w:tc>
      </w:tr>
      <w:tr w14:paraId="08ECB46E">
        <w:trPr>
          <w:trHeight w:val="679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66C0B1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6C9B58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768" w:type="dxa"/>
            <w:shd w:val="clear" w:color="auto" w:fill="auto"/>
            <w:vAlign w:val="center"/>
          </w:tcPr>
          <w:p w14:paraId="616F0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报价：</w:t>
            </w:r>
          </w:p>
          <w:p w14:paraId="1BC15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单位：万元</w:t>
            </w:r>
          </w:p>
        </w:tc>
      </w:tr>
      <w:tr w14:paraId="0E5F439B">
        <w:trPr>
          <w:trHeight w:val="7848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4588F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服务内容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27A1B94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一、项目总投资（四川节点部分）</w:t>
            </w:r>
          </w:p>
          <w:p w14:paraId="640DD4EE">
            <w:pPr>
              <w:widowControl/>
              <w:numPr>
                <w:ilvl w:val="0"/>
                <w:numId w:val="0"/>
              </w:numPr>
              <w:ind w:firstLine="480" w:firstLineChars="200"/>
              <w:textAlignment w:val="baseline"/>
              <w:rPr>
                <w:rFonts w:hint="default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 w:val="24"/>
                <w:szCs w:val="32"/>
                <w:lang w:val="en-US" w:eastAsia="zh-CN"/>
              </w:rPr>
              <w:t>1200万元</w:t>
            </w:r>
          </w:p>
          <w:p w14:paraId="2E2A1FB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二、服务内容</w:t>
            </w:r>
          </w:p>
          <w:p w14:paraId="47EC6D8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（一）项目资金管理使用情况中期预审：开展不少于1次项目资金管理使用情况中期检查，及时发现项目预算执行、财务核算问题并提出整改建议，并提交问题清单及其整改建议。</w:t>
            </w:r>
          </w:p>
          <w:p w14:paraId="32146A1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二）项目调整变更及预算调整事项建议：根据实际需要，为项目在发生项目目标、方案、内容、总投资、实施周期、建设地点、设备清单等调整，承担单位和负责人变更，承担单位间、预算科目间预算调剂等事项时，提供专业的咨询建议。</w:t>
            </w:r>
          </w:p>
          <w:p w14:paraId="28068D2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三）项目实施期间日常疑难问题解答：在项目实施过程中，协助公司解答日常遇到的各类项目财务管理和行政管理问题。根据需要在线参与公司组织的项目协调会、中期评审会、变更论证会等各类会议，并提供相关专业建议。</w:t>
            </w:r>
          </w:p>
          <w:p w14:paraId="6082330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（四）项目资金管理使用情况财务决算审计：项目实施完成且编制项目决算报表后，依据工信部相关资金管理办法，针对公司开展项目资金管理使用情况财务决算审计，并出具相关材料（纸质版+电子版）。</w:t>
            </w:r>
          </w:p>
          <w:p w14:paraId="43697C7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 w:firstLineChars="200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（五）项目验收会前后相关事项沟通支持：在项目验收会召开前，针对工信部就验收材料财务相关事项的反馈问题（若有），支持公司形成整改方案或情况说明。针对项目验收会上财务验收专家提出的疑问，协助公司与其开展专业、充分的沟通。</w:t>
            </w:r>
          </w:p>
          <w:p w14:paraId="3DAC9E3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baseline"/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三、项目周期</w:t>
            </w:r>
          </w:p>
          <w:p w14:paraId="4C64897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80"/>
              <w:textAlignment w:val="baseline"/>
              <w:rPr>
                <w:rFonts w:hint="default" w:ascii="仿宋" w:hAnsi="仿宋" w:eastAsia="仿宋" w:cs="仿宋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kern w:val="0"/>
                <w:sz w:val="24"/>
                <w:szCs w:val="32"/>
                <w:lang w:val="en-US" w:eastAsia="zh-CN"/>
              </w:rPr>
              <w:t>合同签订后至2027年9月30日。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29E8D1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lang w:val="en-US" w:eastAsia="zh-CN"/>
              </w:rPr>
            </w:pPr>
          </w:p>
        </w:tc>
      </w:tr>
      <w:tr w14:paraId="723FCFD2">
        <w:trPr>
          <w:trHeight w:val="865" w:hRule="atLeast"/>
          <w:jc w:val="center"/>
        </w:trPr>
        <w:tc>
          <w:tcPr>
            <w:tcW w:w="1396" w:type="dxa"/>
            <w:shd w:val="clear" w:color="auto" w:fill="auto"/>
            <w:vAlign w:val="center"/>
          </w:tcPr>
          <w:p w14:paraId="05844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总价（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万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元）</w:t>
            </w:r>
          </w:p>
        </w:tc>
        <w:tc>
          <w:tcPr>
            <w:tcW w:w="6012" w:type="dxa"/>
            <w:shd w:val="clear" w:color="auto" w:fill="auto"/>
            <w:vAlign w:val="center"/>
          </w:tcPr>
          <w:p w14:paraId="4280D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*****万元（大写：*****）</w:t>
            </w:r>
          </w:p>
        </w:tc>
        <w:tc>
          <w:tcPr>
            <w:tcW w:w="1768" w:type="dxa"/>
            <w:shd w:val="clear" w:color="auto" w:fill="auto"/>
            <w:vAlign w:val="center"/>
          </w:tcPr>
          <w:p w14:paraId="5A7E8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</w:p>
        </w:tc>
      </w:tr>
    </w:tbl>
    <w:p w14:paraId="4A95E5CD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单位</w:t>
      </w:r>
      <w:r>
        <w:rPr>
          <w:rFonts w:hint="eastAsia" w:ascii="仿宋" w:hAnsi="仿宋" w:eastAsia="仿宋" w:cs="Times New Roman"/>
          <w:bCs/>
          <w:sz w:val="28"/>
          <w:szCs w:val="28"/>
        </w:rPr>
        <w:t>名称（盖章）：</w:t>
      </w:r>
    </w:p>
    <w:p w14:paraId="5745DAC2">
      <w:pPr>
        <w:spacing w:line="360" w:lineRule="auto"/>
        <w:rPr>
          <w:rFonts w:hint="eastAsia"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38A65518">
      <w:pPr>
        <w:spacing w:line="360" w:lineRule="auto"/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</w:t>
      </w:r>
      <w:r>
        <w:rPr>
          <w:rFonts w:hint="eastAsia" w:ascii="仿宋" w:hAnsi="仿宋" w:eastAsia="仿宋" w:cs="Times New Roman"/>
          <w:bCs/>
          <w:sz w:val="28"/>
          <w:szCs w:val="28"/>
          <w:lang w:val="en-US" w:eastAsia="zh-CN"/>
        </w:rPr>
        <w:t>2025年x月xx日</w:t>
      </w: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86"/>
    <w:family w:val="auto"/>
    <w:pitch w:val="default"/>
    <w:sig w:usb0="E0000AFF" w:usb1="00007843" w:usb2="00000001" w:usb3="00000000" w:csb0="400001BF" w:csb1="DFF70000"/>
    <w:embedRegular r:id="rId1" w:fontKey="{DD234573-6CEE-A09F-997D-116930A9DC0E}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FZXiaoBiaoSong-B05S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Hei-B01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Kai-Z03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ZFangSong-Z0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PMingLiU">
    <w:altName w:val="宋体-繁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宋体-繁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E45F2E07-0103-E695-997D-1169B7952574}"/>
  </w:font>
  <w:font w:name="inherit">
    <w:altName w:val="苹方-简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  <w:embedRegular r:id="rId3" w:fontKey="{51A2748B-2F1B-FA5E-997D-116949B822DA}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3042045"/>
    <w:multiLevelType w:val="singleLevel"/>
    <w:tmpl w:val="E304204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A2F4AB3"/>
    <w:multiLevelType w:val="multilevel"/>
    <w:tmpl w:val="6A2F4AB3"/>
    <w:lvl w:ilvl="0" w:tentative="0">
      <w:start w:val="1"/>
      <w:numFmt w:val="chineseCountingThousand"/>
      <w:suff w:val="nothing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pStyle w:val="2"/>
      <w:isLgl/>
      <w:suff w:val="nothing"/>
      <w:lvlText w:val="%1.%2、"/>
      <w:lvlJc w:val="left"/>
      <w:pPr>
        <w:ind w:left="567" w:hanging="567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isLgl/>
      <w:suff w:val="nothing"/>
      <w:lvlText w:val="%1.%2.%3、"/>
      <w:lvlJc w:val="left"/>
      <w:pPr>
        <w:ind w:left="1069" w:hanging="1069"/>
      </w:pPr>
      <w:rPr>
        <w:rFonts w:hint="eastAsia"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3" w:tentative="0">
      <w:start w:val="1"/>
      <w:numFmt w:val="decimal"/>
      <w:isLgl/>
      <w:suff w:val="nothing"/>
      <w:lvlText w:val="%1.%2.%3.%4、"/>
      <w:lvlJc w:val="left"/>
      <w:pPr>
        <w:ind w:left="851" w:hanging="851"/>
      </w:pPr>
      <w:rPr>
        <w:rFonts w:hint="default" w:ascii="Times New Roman" w:hAnsi="Times New Roman" w:eastAsia="宋体" w:cs="Times New Roman"/>
        <w:sz w:val="24"/>
        <w:szCs w:val="24"/>
      </w:rPr>
    </w:lvl>
    <w:lvl w:ilvl="4" w:tentative="0">
      <w:start w:val="1"/>
      <w:numFmt w:val="decimal"/>
      <w:isLgl/>
      <w:suff w:val="nothing"/>
      <w:lvlText w:val="%1.%2.%3.%4.%5、"/>
      <w:lvlJc w:val="left"/>
      <w:pPr>
        <w:ind w:left="992" w:hanging="992"/>
      </w:pPr>
      <w:rPr>
        <w:rFonts w:hint="eastAsia"/>
      </w:rPr>
    </w:lvl>
    <w:lvl w:ilvl="5" w:tentative="0">
      <w:start w:val="1"/>
      <w:numFmt w:val="decimal"/>
      <w:isLgl/>
      <w:suff w:val="nothing"/>
      <w:lvlText w:val="%1.%2.%3.%4.%5.%6、"/>
      <w:lvlJc w:val="left"/>
      <w:pPr>
        <w:ind w:left="1134" w:hanging="1134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isLgl/>
      <w:lvlText w:val="%1.%2.%3.%4.%5.%6.%7"/>
      <w:lvlJc w:val="left"/>
      <w:pPr>
        <w:tabs>
          <w:tab w:val="left" w:pos="1800"/>
        </w:tabs>
        <w:ind w:left="1276" w:hanging="1276"/>
      </w:pPr>
      <w:rPr>
        <w:rFonts w:hint="eastAsia"/>
      </w:rPr>
    </w:lvl>
    <w:lvl w:ilvl="7" w:tentative="0">
      <w:start w:val="1"/>
      <w:numFmt w:val="decimal"/>
      <w:isLgl/>
      <w:lvlText w:val="%1.%2.%3.%4.%5.%6.%7.%8"/>
      <w:lvlJc w:val="left"/>
      <w:pPr>
        <w:tabs>
          <w:tab w:val="left" w:pos="1800"/>
        </w:tabs>
        <w:ind w:left="1418" w:hanging="1418"/>
      </w:pPr>
      <w:rPr>
        <w:rFonts w:hint="eastAsia"/>
      </w:rPr>
    </w:lvl>
    <w:lvl w:ilvl="8" w:tentative="0">
      <w:start w:val="1"/>
      <w:numFmt w:val="decimal"/>
      <w:isLgl/>
      <w:lvlText w:val="%1.%2.%3.%4.%5.%6.%7.%8.%9"/>
      <w:lvlJc w:val="left"/>
      <w:pPr>
        <w:tabs>
          <w:tab w:val="left" w:pos="2160"/>
        </w:tabs>
        <w:ind w:left="1559" w:hanging="1559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9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F6736"/>
    <w:rsid w:val="068725B4"/>
    <w:rsid w:val="10983F1A"/>
    <w:rsid w:val="149BC98C"/>
    <w:rsid w:val="16BF78F4"/>
    <w:rsid w:val="1BFE8218"/>
    <w:rsid w:val="1CFE8FC6"/>
    <w:rsid w:val="287F1513"/>
    <w:rsid w:val="377BA3D6"/>
    <w:rsid w:val="377FCF75"/>
    <w:rsid w:val="37FE1EF2"/>
    <w:rsid w:val="386C091E"/>
    <w:rsid w:val="39104059"/>
    <w:rsid w:val="3A7F9B27"/>
    <w:rsid w:val="3DFF6853"/>
    <w:rsid w:val="3EF5CE12"/>
    <w:rsid w:val="3F535491"/>
    <w:rsid w:val="3FA34547"/>
    <w:rsid w:val="3FFE7207"/>
    <w:rsid w:val="3FFF1ABF"/>
    <w:rsid w:val="3FFF6736"/>
    <w:rsid w:val="486736C3"/>
    <w:rsid w:val="4AFDF7ED"/>
    <w:rsid w:val="4DFE0366"/>
    <w:rsid w:val="567BD31A"/>
    <w:rsid w:val="5BF5A489"/>
    <w:rsid w:val="5D5291D1"/>
    <w:rsid w:val="63E7A18D"/>
    <w:rsid w:val="68FFBAC2"/>
    <w:rsid w:val="6AAC73A7"/>
    <w:rsid w:val="6DFB966F"/>
    <w:rsid w:val="6EFD7881"/>
    <w:rsid w:val="6FD5836D"/>
    <w:rsid w:val="6FFF5CD8"/>
    <w:rsid w:val="71677131"/>
    <w:rsid w:val="72DF037C"/>
    <w:rsid w:val="747B29EC"/>
    <w:rsid w:val="74BFE0CE"/>
    <w:rsid w:val="75292D9A"/>
    <w:rsid w:val="7537303E"/>
    <w:rsid w:val="778F81AE"/>
    <w:rsid w:val="77BFB454"/>
    <w:rsid w:val="77C568C0"/>
    <w:rsid w:val="77FB4B84"/>
    <w:rsid w:val="78FDDD8D"/>
    <w:rsid w:val="7BBF8BDF"/>
    <w:rsid w:val="7BDB099C"/>
    <w:rsid w:val="7BFF9AED"/>
    <w:rsid w:val="7D2B16EE"/>
    <w:rsid w:val="7D3E1424"/>
    <w:rsid w:val="7DD853ED"/>
    <w:rsid w:val="7DE3BD80"/>
    <w:rsid w:val="7E5CB0D5"/>
    <w:rsid w:val="7E60532D"/>
    <w:rsid w:val="7EFF3C88"/>
    <w:rsid w:val="7F237504"/>
    <w:rsid w:val="7F3FFFF6"/>
    <w:rsid w:val="7FD5C647"/>
    <w:rsid w:val="7FEEF73E"/>
    <w:rsid w:val="7FF7F848"/>
    <w:rsid w:val="7FFA84A1"/>
    <w:rsid w:val="7FFE6743"/>
    <w:rsid w:val="9FFF3BF6"/>
    <w:rsid w:val="A61BAAF0"/>
    <w:rsid w:val="A99D6C8D"/>
    <w:rsid w:val="AAEFBE22"/>
    <w:rsid w:val="AC4B3A0B"/>
    <w:rsid w:val="ADD815D2"/>
    <w:rsid w:val="AF976BCA"/>
    <w:rsid w:val="B77FAD74"/>
    <w:rsid w:val="BBF5979C"/>
    <w:rsid w:val="BDD7AB69"/>
    <w:rsid w:val="BF7FE3D9"/>
    <w:rsid w:val="BFCFE755"/>
    <w:rsid w:val="BFFAAEFA"/>
    <w:rsid w:val="C7BAA2B7"/>
    <w:rsid w:val="CDDF81AE"/>
    <w:rsid w:val="CE7E2965"/>
    <w:rsid w:val="CF774068"/>
    <w:rsid w:val="D379676F"/>
    <w:rsid w:val="D3F69D1C"/>
    <w:rsid w:val="D9FFC87A"/>
    <w:rsid w:val="DCAFF3FD"/>
    <w:rsid w:val="DEF671C2"/>
    <w:rsid w:val="DF8D9E57"/>
    <w:rsid w:val="DFFF0208"/>
    <w:rsid w:val="E34FD5C1"/>
    <w:rsid w:val="E5FAD203"/>
    <w:rsid w:val="EDFF0607"/>
    <w:rsid w:val="EDFFDFEB"/>
    <w:rsid w:val="EE7FAC1A"/>
    <w:rsid w:val="EFD6FC63"/>
    <w:rsid w:val="EFDE694A"/>
    <w:rsid w:val="EFF757F5"/>
    <w:rsid w:val="F1FD5D99"/>
    <w:rsid w:val="F26FC7B3"/>
    <w:rsid w:val="F4BBAACD"/>
    <w:rsid w:val="F5FA0AD8"/>
    <w:rsid w:val="F6DB6CE2"/>
    <w:rsid w:val="F76F05A0"/>
    <w:rsid w:val="F77F0679"/>
    <w:rsid w:val="F79BA4D6"/>
    <w:rsid w:val="F7FB9C3B"/>
    <w:rsid w:val="FB9F7039"/>
    <w:rsid w:val="FDBC0D05"/>
    <w:rsid w:val="FDF60032"/>
    <w:rsid w:val="FF2E4B39"/>
    <w:rsid w:val="FF4FAC47"/>
    <w:rsid w:val="FFD79CE5"/>
    <w:rsid w:val="FFF17A99"/>
    <w:rsid w:val="FFF6EED1"/>
    <w:rsid w:val="FFF790F9"/>
    <w:rsid w:val="FFFF1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120" w:after="120" w:line="360" w:lineRule="auto"/>
      <w:jc w:val="both"/>
      <w:outlineLvl w:val="1"/>
    </w:pPr>
    <w:rPr>
      <w:rFonts w:eastAsia="宋体"/>
      <w:b/>
      <w:bCs/>
      <w:color w:val="auto"/>
      <w:kern w:val="2"/>
      <w:sz w:val="30"/>
      <w:szCs w:val="32"/>
      <w:lang w:val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Body text|41"/>
    <w:basedOn w:val="1"/>
    <w:link w:val="7"/>
    <w:qFormat/>
    <w:uiPriority w:val="0"/>
    <w:pPr>
      <w:shd w:val="clear" w:color="auto" w:fill="FFFFFF"/>
      <w:spacing w:before="260" w:after="260" w:line="280" w:lineRule="exact"/>
      <w:ind w:hanging="1320"/>
      <w:jc w:val="center"/>
    </w:pPr>
    <w:rPr>
      <w:rFonts w:ascii="PMingLiU" w:hAnsi="PMingLiU" w:eastAsia="PMingLiU" w:cs="PMingLiU"/>
      <w:spacing w:val="40"/>
      <w:sz w:val="28"/>
      <w:szCs w:val="28"/>
    </w:rPr>
  </w:style>
  <w:style w:type="character" w:customStyle="1" w:styleId="6">
    <w:name w:val="Body text|4 + Spacing 7 pt"/>
    <w:basedOn w:val="7"/>
    <w:semiHidden/>
    <w:unhideWhenUsed/>
    <w:qFormat/>
    <w:uiPriority w:val="0"/>
    <w:rPr>
      <w:rFonts w:ascii="PMingLiU" w:hAnsi="PMingLiU" w:eastAsia="PMingLiU" w:cs="PMingLiU"/>
      <w:color w:val="000000"/>
      <w:spacing w:val="150"/>
      <w:w w:val="100"/>
      <w:position w:val="0"/>
      <w:sz w:val="28"/>
      <w:szCs w:val="28"/>
      <w:u w:val="none"/>
      <w:lang w:val="zh-CN" w:eastAsia="zh-CN" w:bidi="zh-CN"/>
    </w:rPr>
  </w:style>
  <w:style w:type="character" w:customStyle="1" w:styleId="7">
    <w:name w:val="Body text|4_"/>
    <w:basedOn w:val="4"/>
    <w:link w:val="5"/>
    <w:qFormat/>
    <w:uiPriority w:val="0"/>
    <w:rPr>
      <w:rFonts w:ascii="PMingLiU" w:hAnsi="PMingLiU" w:eastAsia="PMingLiU" w:cs="PMingLiU"/>
      <w:spacing w:val="4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4665</Words>
  <Characters>4754</Characters>
  <Lines>0</Lines>
  <Paragraphs>0</Paragraphs>
  <TotalTime>2</TotalTime>
  <ScaleCrop>false</ScaleCrop>
  <LinksUpToDate>false</LinksUpToDate>
  <CharactersWithSpaces>4770</CharactersWithSpaces>
  <Application>WPS Office_12.1.23540.23540_F1E327BC-269C-435d-A152-05C5408002CA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2025-04-09T11:38:00Z</dcterms:created>
  <dc:creator>妲己♥已成精</dc:creator>
  <cp:lastModifiedBy>Rising land--LUK</cp:lastModifiedBy>
  <dcterms:modified xsi:type="dcterms:W3CDTF">2025-11-10T13:52:25Z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2052-12.1.23540.23540</vt:lpwstr>
  </property>
  <property fmtid="{D5CDD505-2E9C-101B-9397-08002B2CF9AE}" pid="3" name="ICV">
    <vt:lpwstr>4923AAFACD4D4AF3A2CD5155660D0F02_13</vt:lpwstr>
  </property>
  <property fmtid="{D5CDD505-2E9C-101B-9397-08002B2CF9AE}" pid="4" name="KSOTemplateDocerSaveRecord">
    <vt:lpwstr>eyJoZGlkIjoiZDA4ZTQ5NDQ2NjdiNjhlYTU3OGUzY2U3ZmI3Y2FkNzUiLCJ1c2VySWQiOiIxNTYwNzQ0NDU4In0=</vt:lpwstr>
  </property>
</Properties>
</file>