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B515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黑体" w:hAnsi="黑体" w:eastAsia="黑体" w:cs="黑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44"/>
          <w:szCs w:val="44"/>
        </w:rPr>
        <w:t xml:space="preserve"> </w:t>
      </w:r>
      <w:r>
        <w:rPr>
          <w:rFonts w:hint="eastAsia" w:ascii="黑体" w:hAnsi="黑体" w:eastAsia="黑体" w:cs="黑体"/>
          <w:b w:val="0"/>
          <w:bCs w:val="0"/>
          <w:sz w:val="44"/>
          <w:szCs w:val="44"/>
          <w:lang w:val="en-US" w:eastAsia="zh-CN"/>
        </w:rPr>
        <w:t>国家统一技术交易服务平台项目</w:t>
      </w:r>
    </w:p>
    <w:p w14:paraId="37FEB6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黑体" w:hAnsi="黑体" w:eastAsia="黑体" w:cs="黑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44"/>
          <w:szCs w:val="44"/>
          <w:lang w:val="en-US" w:eastAsia="zh-CN"/>
        </w:rPr>
        <w:t>审计服务</w:t>
      </w:r>
    </w:p>
    <w:p w14:paraId="12ECFD6A">
      <w:pPr>
        <w:jc w:val="center"/>
        <w:rPr>
          <w:rFonts w:hint="eastAsia" w:ascii="黑体" w:hAnsi="黑体" w:eastAsia="黑体" w:cs="黑体"/>
          <w:spacing w:val="-20"/>
          <w:sz w:val="44"/>
          <w:szCs w:val="44"/>
        </w:rPr>
      </w:pPr>
    </w:p>
    <w:p w14:paraId="242E3870">
      <w:pPr>
        <w:jc w:val="center"/>
        <w:rPr>
          <w:rFonts w:hint="eastAsia" w:ascii="黑体" w:hAnsi="黑体" w:eastAsia="黑体" w:cs="黑体"/>
          <w:spacing w:val="-20"/>
          <w:sz w:val="96"/>
          <w:szCs w:val="44"/>
        </w:rPr>
      </w:pPr>
      <w:r>
        <w:rPr>
          <w:rFonts w:hint="eastAsia" w:ascii="黑体" w:hAnsi="黑体" w:eastAsia="黑体" w:cs="黑体"/>
          <w:spacing w:val="-20"/>
          <w:sz w:val="96"/>
          <w:szCs w:val="44"/>
        </w:rPr>
        <w:t>询</w:t>
      </w:r>
    </w:p>
    <w:p w14:paraId="782ADAE4">
      <w:pPr>
        <w:jc w:val="center"/>
        <w:rPr>
          <w:rFonts w:hint="eastAsia" w:ascii="黑体" w:hAnsi="黑体" w:eastAsia="黑体" w:cs="黑体"/>
          <w:spacing w:val="-20"/>
          <w:sz w:val="96"/>
          <w:szCs w:val="44"/>
        </w:rPr>
      </w:pPr>
      <w:r>
        <w:rPr>
          <w:rFonts w:hint="eastAsia" w:ascii="黑体" w:hAnsi="黑体" w:eastAsia="黑体" w:cs="黑体"/>
          <w:spacing w:val="-20"/>
          <w:sz w:val="96"/>
          <w:szCs w:val="44"/>
        </w:rPr>
        <w:t>价</w:t>
      </w:r>
    </w:p>
    <w:p w14:paraId="447D9599">
      <w:pPr>
        <w:jc w:val="center"/>
        <w:rPr>
          <w:rFonts w:hint="eastAsia" w:ascii="黑体" w:hAnsi="黑体" w:eastAsia="黑体" w:cs="黑体"/>
          <w:spacing w:val="-20"/>
          <w:sz w:val="96"/>
          <w:szCs w:val="44"/>
        </w:rPr>
      </w:pPr>
      <w:r>
        <w:rPr>
          <w:rFonts w:hint="eastAsia" w:ascii="黑体" w:hAnsi="黑体" w:eastAsia="黑体" w:cs="黑体"/>
          <w:spacing w:val="-20"/>
          <w:sz w:val="96"/>
          <w:szCs w:val="44"/>
        </w:rPr>
        <w:t>文</w:t>
      </w:r>
    </w:p>
    <w:p w14:paraId="01D1D966">
      <w:pPr>
        <w:jc w:val="center"/>
        <w:rPr>
          <w:rFonts w:hint="eastAsia" w:ascii="黑体" w:hAnsi="黑体" w:eastAsia="黑体" w:cs="黑体"/>
          <w:spacing w:val="-20"/>
          <w:sz w:val="96"/>
          <w:szCs w:val="44"/>
        </w:rPr>
      </w:pPr>
      <w:r>
        <w:rPr>
          <w:rFonts w:hint="eastAsia" w:ascii="黑体" w:hAnsi="黑体" w:eastAsia="黑体" w:cs="黑体"/>
          <w:spacing w:val="-20"/>
          <w:sz w:val="96"/>
          <w:szCs w:val="44"/>
        </w:rPr>
        <w:t>件</w:t>
      </w:r>
    </w:p>
    <w:p w14:paraId="45DB2044">
      <w:pPr>
        <w:spacing w:line="560" w:lineRule="exact"/>
        <w:jc w:val="center"/>
        <w:rPr>
          <w:rFonts w:hint="eastAsia" w:ascii="黑体" w:hAnsi="黑体" w:eastAsia="黑体" w:cs="黑体"/>
          <w:spacing w:val="-20"/>
          <w:sz w:val="72"/>
          <w:szCs w:val="44"/>
        </w:rPr>
      </w:pPr>
    </w:p>
    <w:p w14:paraId="0A429601">
      <w:pPr>
        <w:spacing w:line="560" w:lineRule="exact"/>
        <w:jc w:val="center"/>
        <w:rPr>
          <w:rFonts w:hint="eastAsia" w:ascii="黑体" w:hAnsi="黑体" w:eastAsia="黑体" w:cs="黑体"/>
          <w:spacing w:val="-20"/>
          <w:sz w:val="72"/>
          <w:szCs w:val="44"/>
        </w:rPr>
      </w:pPr>
    </w:p>
    <w:p w14:paraId="4EE5B013">
      <w:pPr>
        <w:rPr>
          <w:rFonts w:hint="eastAsia" w:ascii="黑体" w:hAnsi="黑体" w:eastAsia="黑体" w:cs="黑体"/>
          <w:spacing w:val="-20"/>
          <w:sz w:val="36"/>
          <w:szCs w:val="44"/>
        </w:rPr>
      </w:pPr>
    </w:p>
    <w:p w14:paraId="7C6FE8E1">
      <w:pPr>
        <w:spacing w:line="560" w:lineRule="exact"/>
        <w:jc w:val="center"/>
        <w:rPr>
          <w:rFonts w:hint="eastAsia" w:ascii="黑体" w:hAnsi="黑体" w:eastAsia="黑体" w:cs="黑体"/>
          <w:spacing w:val="-20"/>
          <w:sz w:val="36"/>
          <w:szCs w:val="44"/>
        </w:rPr>
      </w:pPr>
      <w:r>
        <w:rPr>
          <w:rFonts w:hint="eastAsia" w:ascii="黑体" w:hAnsi="黑体" w:eastAsia="黑体" w:cs="黑体"/>
          <w:spacing w:val="-20"/>
          <w:sz w:val="36"/>
          <w:szCs w:val="44"/>
        </w:rPr>
        <w:t>成都高投盈创动力投资发展有限公司</w:t>
      </w:r>
    </w:p>
    <w:p w14:paraId="6D23F4D8">
      <w:pPr>
        <w:spacing w:line="560" w:lineRule="exact"/>
        <w:jc w:val="center"/>
        <w:rPr>
          <w:rFonts w:hint="eastAsia" w:ascii="黑体" w:hAnsi="黑体" w:eastAsia="黑体" w:cs="黑体"/>
          <w:spacing w:val="-20"/>
          <w:sz w:val="36"/>
          <w:szCs w:val="44"/>
        </w:rPr>
      </w:pPr>
      <w:r>
        <w:rPr>
          <w:rFonts w:hint="eastAsia" w:ascii="黑体" w:hAnsi="黑体" w:eastAsia="黑体" w:cs="黑体"/>
          <w:spacing w:val="-20"/>
          <w:sz w:val="36"/>
          <w:szCs w:val="44"/>
        </w:rPr>
        <w:t>202</w:t>
      </w:r>
      <w:r>
        <w:rPr>
          <w:rFonts w:hint="eastAsia" w:ascii="黑体" w:hAnsi="黑体" w:eastAsia="黑体" w:cs="黑体"/>
          <w:spacing w:val="-20"/>
          <w:sz w:val="36"/>
          <w:szCs w:val="44"/>
          <w:lang w:val="en-US" w:eastAsia="zh-CN"/>
        </w:rPr>
        <w:t>5</w:t>
      </w:r>
      <w:r>
        <w:rPr>
          <w:rFonts w:hint="eastAsia" w:ascii="黑体" w:hAnsi="黑体" w:eastAsia="黑体" w:cs="黑体"/>
          <w:spacing w:val="-20"/>
          <w:sz w:val="36"/>
          <w:szCs w:val="44"/>
        </w:rPr>
        <w:t>年</w:t>
      </w:r>
      <w:r>
        <w:rPr>
          <w:rFonts w:hint="eastAsia" w:ascii="黑体" w:hAnsi="黑体" w:eastAsia="黑体" w:cs="黑体"/>
          <w:spacing w:val="-20"/>
          <w:sz w:val="36"/>
          <w:szCs w:val="44"/>
          <w:lang w:val="en-US" w:eastAsia="zh-CN"/>
        </w:rPr>
        <w:t>10</w:t>
      </w:r>
      <w:r>
        <w:rPr>
          <w:rFonts w:hint="eastAsia" w:ascii="黑体" w:hAnsi="黑体" w:eastAsia="黑体" w:cs="黑体"/>
          <w:spacing w:val="-20"/>
          <w:sz w:val="36"/>
          <w:szCs w:val="44"/>
        </w:rPr>
        <w:t>月</w:t>
      </w:r>
    </w:p>
    <w:p w14:paraId="64718F43">
      <w:pPr>
        <w:rPr>
          <w:rFonts w:hint="eastAsia" w:ascii="方正小标宋简体" w:eastAsia="方正小标宋简体"/>
          <w:spacing w:val="-20"/>
          <w:sz w:val="36"/>
          <w:szCs w:val="44"/>
        </w:rPr>
      </w:pPr>
    </w:p>
    <w:p w14:paraId="35C9CC0F">
      <w:pPr>
        <w:widowControl/>
        <w:jc w:val="left"/>
        <w:rPr>
          <w:rFonts w:hint="eastAsia" w:ascii="方正小标宋简体" w:eastAsia="方正小标宋简体"/>
          <w:spacing w:val="-20"/>
          <w:sz w:val="36"/>
          <w:szCs w:val="44"/>
        </w:rPr>
      </w:pPr>
    </w:p>
    <w:p w14:paraId="3AA12454">
      <w:pP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br w:type="page"/>
      </w:r>
    </w:p>
    <w:p w14:paraId="0703655E">
      <w:pPr>
        <w:widowControl/>
        <w:spacing w:line="420" w:lineRule="atLeast"/>
        <w:textAlignment w:val="baseline"/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b/>
          <w:color w:val="000000"/>
          <w:kern w:val="0"/>
          <w:sz w:val="32"/>
          <w:szCs w:val="32"/>
        </w:rPr>
        <w:t>一、</w:t>
      </w:r>
      <w:r>
        <w:rPr>
          <w:rFonts w:hint="eastAsia" w:ascii="仿宋_GB2312" w:hAnsi="黑体" w:eastAsia="仿宋_GB2312" w:cs="宋体"/>
          <w:b/>
          <w:bCs/>
          <w:color w:val="000000"/>
          <w:kern w:val="0"/>
          <w:sz w:val="32"/>
          <w:szCs w:val="32"/>
        </w:rPr>
        <w:t>注意事项</w:t>
      </w:r>
    </w:p>
    <w:p w14:paraId="5827485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atLeast"/>
        <w:ind w:firstLine="640" w:firstLineChars="200"/>
        <w:textAlignment w:val="baseline"/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报价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单位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应就以下询价要求，在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202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5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年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11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月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14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日下午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17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  <w:lang w:val="en-US" w:eastAsia="zh-CN"/>
        </w:rPr>
        <w:t>:</w:t>
      </w:r>
      <w:r>
        <w:rPr>
          <w:rFonts w:hint="eastAsia" w:ascii="仿宋_GB2312" w:hAnsi="inherit" w:eastAsia="仿宋_GB2312" w:cs="宋体"/>
          <w:kern w:val="0"/>
          <w:sz w:val="32"/>
          <w:szCs w:val="32"/>
          <w:u w:val="single"/>
        </w:rPr>
        <w:t>0</w:t>
      </w:r>
      <w:r>
        <w:rPr>
          <w:rFonts w:ascii="仿宋_GB2312" w:hAnsi="inherit" w:eastAsia="仿宋_GB2312" w:cs="宋体"/>
          <w:kern w:val="0"/>
          <w:sz w:val="32"/>
          <w:szCs w:val="32"/>
          <w:u w:val="single"/>
        </w:rPr>
        <w:t>0</w:t>
      </w:r>
      <w:r>
        <w:rPr>
          <w:rFonts w:hint="eastAsia" w:ascii="仿宋_GB2312" w:hAnsi="inherit" w:eastAsia="仿宋_GB2312" w:cs="宋体"/>
          <w:kern w:val="0"/>
          <w:sz w:val="32"/>
          <w:szCs w:val="32"/>
        </w:rPr>
        <w:t>时前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，向成都高投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盈创动力投资发展有限公司（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以下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简称“盈创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val="en-US" w:eastAsia="zh-CN"/>
        </w:rPr>
        <w:t>动力</w:t>
      </w:r>
      <w:r>
        <w:rPr>
          <w:rFonts w:ascii="仿宋_GB2312" w:hAnsi="宋体" w:eastAsia="仿宋_GB2312" w:cs="宋体"/>
          <w:color w:val="000000"/>
          <w:kern w:val="0"/>
          <w:sz w:val="32"/>
          <w:szCs w:val="32"/>
        </w:rPr>
        <w:t>公司”）</w:t>
      </w:r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</w:rPr>
        <w:t>做出一次性书面报价。</w:t>
      </w:r>
    </w:p>
    <w:p w14:paraId="718CE693">
      <w:pPr>
        <w:widowControl/>
        <w:spacing w:line="420" w:lineRule="atLeast"/>
        <w:textAlignment w:val="baseline"/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黑体" w:eastAsia="仿宋_GB2312" w:cs="宋体"/>
          <w:b/>
          <w:color w:val="000000"/>
          <w:kern w:val="0"/>
          <w:sz w:val="32"/>
          <w:szCs w:val="32"/>
        </w:rPr>
        <w:t>二、询价要求</w:t>
      </w:r>
    </w:p>
    <w:tbl>
      <w:tblPr>
        <w:tblStyle w:val="3"/>
        <w:tblW w:w="8610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41"/>
        <w:gridCol w:w="1559"/>
        <w:gridCol w:w="6210"/>
      </w:tblGrid>
      <w:tr w14:paraId="2541CA91">
        <w:trPr>
          <w:trHeight w:val="407" w:hRule="atLeast"/>
          <w:jc w:val="center"/>
        </w:trPr>
        <w:tc>
          <w:tcPr>
            <w:tcW w:w="841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7DFA96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8"/>
                <w:szCs w:val="32"/>
              </w:rPr>
              <w:t>序号</w:t>
            </w:r>
          </w:p>
        </w:tc>
        <w:tc>
          <w:tcPr>
            <w:tcW w:w="1559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F350D5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8"/>
                <w:szCs w:val="32"/>
              </w:rPr>
              <w:t>名 称</w:t>
            </w:r>
          </w:p>
        </w:tc>
        <w:tc>
          <w:tcPr>
            <w:tcW w:w="6210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43C76E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8"/>
                <w:szCs w:val="32"/>
              </w:rPr>
              <w:t>要求</w:t>
            </w:r>
          </w:p>
        </w:tc>
      </w:tr>
      <w:tr w14:paraId="5A97C09D">
        <w:trPr>
          <w:trHeight w:val="7139" w:hRule="atLeast"/>
          <w:jc w:val="center"/>
        </w:trPr>
        <w:tc>
          <w:tcPr>
            <w:tcW w:w="84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C1BBA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312A49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项目概况</w:t>
            </w:r>
          </w:p>
        </w:tc>
        <w:tc>
          <w:tcPr>
            <w:tcW w:w="621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1E16F">
            <w:pPr>
              <w:widowControl/>
              <w:numPr>
                <w:ilvl w:val="0"/>
                <w:numId w:val="2"/>
              </w:numPr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项目名称：</w:t>
            </w:r>
          </w:p>
          <w:p w14:paraId="6D03F2EB">
            <w:pPr>
              <w:widowControl/>
              <w:numPr>
                <w:ilvl w:val="0"/>
                <w:numId w:val="0"/>
              </w:numPr>
              <w:ind w:firstLine="480" w:firstLineChars="20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国家统一技术交易服务平台项目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审计服务</w:t>
            </w:r>
          </w:p>
          <w:p w14:paraId="2F4EF33A">
            <w:pPr>
              <w:widowControl/>
              <w:numPr>
                <w:ilvl w:val="0"/>
                <w:numId w:val="2"/>
              </w:numPr>
              <w:ind w:left="0" w:leftChars="0" w:firstLine="0" w:firstLineChars="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项目总投资（四川节点部分）</w:t>
            </w:r>
          </w:p>
          <w:p w14:paraId="30A5CCA5">
            <w:pPr>
              <w:widowControl/>
              <w:numPr>
                <w:ilvl w:val="0"/>
                <w:numId w:val="0"/>
              </w:numPr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1200万元</w:t>
            </w:r>
          </w:p>
          <w:p w14:paraId="1EB3D64B">
            <w:pPr>
              <w:widowControl/>
              <w:numPr>
                <w:ilvl w:val="0"/>
                <w:numId w:val="2"/>
              </w:numPr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服务内容</w:t>
            </w:r>
          </w:p>
          <w:p w14:paraId="682B8B7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（一）项目资金管理使用情况中期预审：开展不少于1次项目资金管理使用情况中期检查，及时发现项目预算执行、财务核算问题并提出整改建议，并提交问题清单及其整改建议。</w:t>
            </w:r>
          </w:p>
          <w:p w14:paraId="2AE766D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二）项目调整变更及预算调整事项建议：根据实际需要，为项目在发生项目目标、方案、内容、总投资、实施周期、建设地点、设备清单等调整，承担单位和负责人变更，承担单位间、预算科目间预算调剂等事项时，提供专业的咨询建议。</w:t>
            </w:r>
          </w:p>
          <w:p w14:paraId="3E01B6B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三）项目实施期间日常疑难问题解答：在项目实施过程中，协助公司解答日常遇到的各类项目财务管理和行政管理问题。根据需要在线参与公司组织的项目协调会、中期评审会、变更论证会等各类会议，并提供相关专业建议。</w:t>
            </w:r>
          </w:p>
          <w:p w14:paraId="0F2052A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（四）项目资金管理使用情况财务决算审计：项目实施完成且编制项目决算报表后，依据工信部相关资金管理办法，针对公司开展项目资金管理使用情况财务决算审计，并出具相关材料（纸质版+电子版）。</w:t>
            </w:r>
          </w:p>
          <w:p w14:paraId="18EF0A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（五）项目验收会前后相关事项沟通支持：在项目验收会召开前，针对工信部就验收材料财务相关事项的反馈问题（若有），支持公司形成整改方案或情况说明。针对项目验收会上财务验收专家提出的疑问，协助公司与其开展专业、充分的沟通。</w:t>
            </w:r>
          </w:p>
          <w:p w14:paraId="3370C879">
            <w:pPr>
              <w:widowControl/>
              <w:numPr>
                <w:ilvl w:val="0"/>
                <w:numId w:val="2"/>
              </w:numPr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</w:t>
            </w:r>
            <w:r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周期</w:t>
            </w:r>
          </w:p>
          <w:p w14:paraId="2AC05A12">
            <w:pPr>
              <w:widowControl/>
              <w:numPr>
                <w:ilvl w:val="0"/>
                <w:numId w:val="0"/>
              </w:numPr>
              <w:ind w:firstLine="48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合同签订后至2027年9月30日。</w:t>
            </w:r>
          </w:p>
          <w:p w14:paraId="1D6DC89F">
            <w:pPr>
              <w:widowControl/>
              <w:numPr>
                <w:ilvl w:val="0"/>
                <w:numId w:val="2"/>
              </w:numPr>
              <w:ind w:left="0" w:leftChars="0" w:firstLine="0" w:firstLineChars="0"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项目限价</w:t>
            </w:r>
          </w:p>
          <w:p w14:paraId="5C8A537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不超过4.06万元</w:t>
            </w:r>
          </w:p>
          <w:p w14:paraId="5C84F0C4">
            <w:pPr>
              <w:widowControl/>
              <w:numPr>
                <w:ilvl w:val="0"/>
                <w:numId w:val="0"/>
              </w:numPr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</w:p>
        </w:tc>
      </w:tr>
      <w:tr w14:paraId="078F008E">
        <w:trPr>
          <w:trHeight w:val="1565" w:hRule="atLeast"/>
          <w:jc w:val="center"/>
        </w:trPr>
        <w:tc>
          <w:tcPr>
            <w:tcW w:w="84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41B2C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FA057E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资格要求</w:t>
            </w:r>
          </w:p>
        </w:tc>
        <w:tc>
          <w:tcPr>
            <w:tcW w:w="621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158025">
            <w:pPr>
              <w:widowControl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1、具有独立承担民事责任的能力。</w:t>
            </w:r>
          </w:p>
          <w:p w14:paraId="3B0F707C">
            <w:pPr>
              <w:widowControl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</w:pPr>
            <w:r>
              <w:rPr>
                <w:rFonts w:ascii="仿宋_GB2312" w:hAnsi="宋体" w:eastAsia="仿宋_GB2312" w:cs="宋体"/>
                <w:color w:val="333333"/>
                <w:kern w:val="0"/>
                <w:sz w:val="24"/>
                <w:szCs w:val="32"/>
              </w:rPr>
              <w:t>2、具有良好的商业信誉。</w:t>
            </w:r>
          </w:p>
          <w:p w14:paraId="05A20DFD">
            <w:pPr>
              <w:widowControl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hAnsi="宋体" w:eastAsia="仿宋_GB2312" w:cs="宋体"/>
                <w:color w:val="333333"/>
                <w:kern w:val="0"/>
                <w:sz w:val="24"/>
                <w:szCs w:val="32"/>
              </w:rPr>
              <w:t>3、具有履行合同所必需的专业技术能力。</w:t>
            </w:r>
          </w:p>
        </w:tc>
      </w:tr>
      <w:tr w14:paraId="50B54621">
        <w:trPr>
          <w:trHeight w:val="90" w:hRule="atLeast"/>
          <w:jc w:val="center"/>
        </w:trPr>
        <w:tc>
          <w:tcPr>
            <w:tcW w:w="841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7F627B">
            <w:pPr>
              <w:widowControl/>
              <w:spacing w:line="36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48C08B">
            <w:pPr>
              <w:widowControl/>
              <w:spacing w:line="420" w:lineRule="atLeast"/>
              <w:textAlignment w:val="baseline"/>
              <w:rPr>
                <w:rFonts w:hint="eastAsia" w:ascii="仿宋_GB2312" w:hAnsi="inherit" w:eastAsia="仿宋_GB2312" w:cs="宋体"/>
                <w:color w:val="000000"/>
                <w:kern w:val="0"/>
                <w:sz w:val="28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32"/>
              </w:rPr>
              <w:t>备注</w:t>
            </w:r>
          </w:p>
        </w:tc>
        <w:tc>
          <w:tcPr>
            <w:tcW w:w="621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4D52D3">
            <w:pPr>
              <w:widowControl/>
              <w:textAlignment w:val="baseline"/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报价单位应充分考虑整个询价过程综合多种风险因素来确定报价，一次性报价包含完成本项目的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所有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服务</w:t>
            </w:r>
            <w:r>
              <w:rPr>
                <w:rFonts w:ascii="仿宋_GB2312" w:hAnsi="宋体" w:eastAsia="仿宋_GB2312" w:cs="宋体"/>
                <w:color w:val="333333"/>
                <w:kern w:val="0"/>
                <w:sz w:val="24"/>
                <w:szCs w:val="32"/>
              </w:rPr>
              <w:t>、工具使用</w:t>
            </w: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</w:rPr>
              <w:t>等一切费用。</w:t>
            </w:r>
          </w:p>
          <w:p w14:paraId="52315961">
            <w:pPr>
              <w:widowControl/>
              <w:textAlignment w:val="baseline"/>
              <w:rPr>
                <w:rFonts w:hint="default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color w:val="333333"/>
                <w:kern w:val="0"/>
                <w:sz w:val="24"/>
                <w:szCs w:val="32"/>
                <w:lang w:val="en-US" w:eastAsia="zh-CN"/>
              </w:rPr>
              <w:t>如有疑惑，可联系（范波，028-85225102）</w:t>
            </w:r>
          </w:p>
        </w:tc>
      </w:tr>
    </w:tbl>
    <w:p w14:paraId="143C51B2">
      <w:pPr>
        <w:widowControl/>
        <w:spacing w:line="520" w:lineRule="exact"/>
        <w:ind w:firstLine="643" w:firstLineChars="200"/>
        <w:textAlignment w:val="baseline"/>
        <w:rPr>
          <w:rFonts w:hint="eastAsia"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color w:val="000000"/>
          <w:kern w:val="0"/>
          <w:sz w:val="32"/>
          <w:szCs w:val="32"/>
        </w:rPr>
        <w:t>注：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报价文件请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u w:val="single"/>
        </w:rPr>
        <w:t>加盖公章后送盈创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u w:val="single"/>
          <w:lang w:val="en-US" w:eastAsia="zh-CN"/>
        </w:rPr>
        <w:t>动力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u w:val="single"/>
        </w:rPr>
        <w:t>公司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u w:val="single"/>
          <w:lang w:val="en-US" w:eastAsia="zh-CN"/>
        </w:rPr>
        <w:t>信息技术部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</w:rPr>
        <w:t>。</w:t>
      </w:r>
    </w:p>
    <w:p w14:paraId="66CEAF63">
      <w:pPr>
        <w:widowControl/>
        <w:spacing w:line="520" w:lineRule="exact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三、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询价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报价函</w:t>
      </w:r>
    </w:p>
    <w:p w14:paraId="536CCE23">
      <w:pPr>
        <w:widowControl/>
        <w:spacing w:line="520" w:lineRule="exact"/>
        <w:ind w:firstLine="480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请按照给出的“报价函”模式进行报价，未按模式要求的作废处理。同时与营业执照复印件（加盖公章）一同提交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eastAsia="zh-CN"/>
        </w:rPr>
        <w:t>。</w:t>
      </w:r>
    </w:p>
    <w:p w14:paraId="63F08500">
      <w:pPr>
        <w:widowControl/>
        <w:spacing w:line="520" w:lineRule="exact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四、联系地址</w:t>
      </w:r>
      <w:bookmarkStart w:id="0" w:name="_GoBack"/>
      <w:bookmarkEnd w:id="0"/>
    </w:p>
    <w:p w14:paraId="7D2BE554">
      <w:pPr>
        <w:widowControl/>
        <w:spacing w:line="520" w:lineRule="exact"/>
        <w:ind w:firstLine="480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四川省成都市高新区和乐三街与锦和路口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AI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创新中心D2盈创动力大厦4楼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 w14:paraId="1001703F">
      <w:pPr>
        <w:widowControl/>
        <w:spacing w:line="520" w:lineRule="exact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五、联系人及电话</w:t>
      </w:r>
    </w:p>
    <w:p w14:paraId="18F4C35C">
      <w:pPr>
        <w:widowControl/>
        <w:spacing w:line="520" w:lineRule="exact"/>
        <w:ind w:firstLine="480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信息技术部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：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范波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 xml:space="preserve">      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电话：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15208278978</w:t>
      </w:r>
    </w:p>
    <w:p w14:paraId="7766D710">
      <w:pPr>
        <w:widowControl/>
        <w:spacing w:line="520" w:lineRule="exact"/>
        <w:ind w:right="164"/>
        <w:jc w:val="right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</w:p>
    <w:p w14:paraId="0F185276">
      <w:pPr>
        <w:widowControl/>
        <w:spacing w:line="520" w:lineRule="exact"/>
        <w:ind w:right="164"/>
        <w:jc w:val="right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</w:p>
    <w:p w14:paraId="028D1C99">
      <w:pPr>
        <w:widowControl/>
        <w:spacing w:line="520" w:lineRule="exact"/>
        <w:ind w:right="164"/>
        <w:jc w:val="right"/>
        <w:textAlignment w:val="baseline"/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成都高投盈创动力投资发展有限公司</w:t>
      </w:r>
    </w:p>
    <w:p w14:paraId="64C83FAD">
      <w:pPr>
        <w:widowControl/>
        <w:wordWrap w:val="0"/>
        <w:spacing w:line="520" w:lineRule="exact"/>
        <w:ind w:right="164"/>
        <w:jc w:val="right"/>
        <w:textAlignment w:val="baseline"/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202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年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11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  <w:lang w:val="en-US" w:eastAsia="zh-CN"/>
        </w:rPr>
        <w:t>10</w:t>
      </w:r>
      <w:r>
        <w:rPr>
          <w:rFonts w:hint="eastAsia" w:ascii="仿宋_GB2312" w:hAnsi="仿宋_GB2312" w:eastAsia="仿宋_GB2312" w:cs="仿宋_GB2312"/>
          <w:color w:val="000000"/>
          <w:kern w:val="0"/>
          <w:sz w:val="32"/>
          <w:szCs w:val="32"/>
        </w:rPr>
        <w:t xml:space="preserve">日  </w:t>
      </w:r>
      <w:r>
        <w:rPr>
          <w:rFonts w:hint="eastAsia" w:ascii="仿宋_GB2312" w:hAnsi="inherit" w:eastAsia="仿宋_GB2312" w:cs="宋体"/>
          <w:color w:val="000000"/>
          <w:kern w:val="0"/>
          <w:sz w:val="32"/>
          <w:szCs w:val="32"/>
        </w:rPr>
        <w:t xml:space="preserve">  </w:t>
      </w:r>
    </w:p>
    <w:p w14:paraId="2052105B">
      <w:pPr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b/>
          <w:color w:val="000000"/>
          <w:kern w:val="0"/>
          <w:sz w:val="32"/>
          <w:szCs w:val="32"/>
        </w:rPr>
        <w:br w:type="page"/>
      </w:r>
    </w:p>
    <w:p w14:paraId="3F82CC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  <w:t>国家统一技术交易服务平台项目</w:t>
      </w:r>
    </w:p>
    <w:p w14:paraId="09D488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仿宋" w:hAnsi="仿宋" w:eastAsia="仿宋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仿宋" w:hAnsi="仿宋" w:eastAsia="仿宋" w:cs="微软雅黑"/>
          <w:b/>
          <w:bCs/>
          <w:sz w:val="44"/>
          <w:szCs w:val="44"/>
          <w:lang w:val="en-US" w:eastAsia="zh-CN"/>
        </w:rPr>
        <w:t>审计服务报价函</w:t>
      </w:r>
    </w:p>
    <w:tbl>
      <w:tblPr>
        <w:tblStyle w:val="3"/>
        <w:tblW w:w="917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96"/>
        <w:gridCol w:w="6012"/>
        <w:gridCol w:w="1768"/>
      </w:tblGrid>
      <w:tr w14:paraId="47A6C6CE">
        <w:trPr>
          <w:trHeight w:val="679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1266F484">
            <w:pPr>
              <w:widowControl/>
              <w:spacing w:line="360" w:lineRule="auto"/>
              <w:jc w:val="center"/>
              <w:textAlignment w:val="center"/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项目名称</w:t>
            </w:r>
          </w:p>
        </w:tc>
        <w:tc>
          <w:tcPr>
            <w:tcW w:w="7780" w:type="dxa"/>
            <w:gridSpan w:val="2"/>
            <w:shd w:val="clear" w:color="auto" w:fill="auto"/>
            <w:vAlign w:val="center"/>
          </w:tcPr>
          <w:p w14:paraId="1E1129E5">
            <w:pPr>
              <w:widowControl/>
              <w:spacing w:line="360" w:lineRule="auto"/>
              <w:jc w:val="both"/>
              <w:textAlignment w:val="center"/>
              <w:rPr>
                <w:rFonts w:hint="default" w:ascii="仿宋" w:hAnsi="仿宋" w:eastAsia="仿宋" w:cs="仿宋"/>
                <w:b/>
                <w:color w:val="000000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 xml:space="preserve"> </w:t>
            </w: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  <w:lang w:val="en-US" w:eastAsia="zh-CN"/>
              </w:rPr>
              <w:t>国家统一技术交易服务平台项目审计服务</w:t>
            </w:r>
          </w:p>
        </w:tc>
      </w:tr>
      <w:tr w14:paraId="08ECB46E">
        <w:trPr>
          <w:trHeight w:val="679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66C0B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机构（公司）名称</w:t>
            </w:r>
          </w:p>
        </w:tc>
        <w:tc>
          <w:tcPr>
            <w:tcW w:w="6012" w:type="dxa"/>
            <w:shd w:val="clear" w:color="auto" w:fill="auto"/>
            <w:vAlign w:val="center"/>
          </w:tcPr>
          <w:p w14:paraId="6C9B58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</w:p>
        </w:tc>
        <w:tc>
          <w:tcPr>
            <w:tcW w:w="1768" w:type="dxa"/>
            <w:shd w:val="clear" w:color="auto" w:fill="auto"/>
            <w:vAlign w:val="center"/>
          </w:tcPr>
          <w:p w14:paraId="616F0E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  <w:t>报价：</w:t>
            </w:r>
          </w:p>
          <w:p w14:paraId="1BC157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  <w:t>单位：万元</w:t>
            </w:r>
          </w:p>
        </w:tc>
      </w:tr>
      <w:tr w14:paraId="0E5F439B">
        <w:trPr>
          <w:trHeight w:val="7848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4588F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  <w:t>服务内容</w:t>
            </w:r>
          </w:p>
        </w:tc>
        <w:tc>
          <w:tcPr>
            <w:tcW w:w="6012" w:type="dxa"/>
            <w:shd w:val="clear" w:color="auto" w:fill="auto"/>
            <w:vAlign w:val="center"/>
          </w:tcPr>
          <w:p w14:paraId="27A1B94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一、项目总投资（四川节点部分）</w:t>
            </w:r>
          </w:p>
          <w:p w14:paraId="640DD4EE">
            <w:pPr>
              <w:widowControl/>
              <w:numPr>
                <w:ilvl w:val="0"/>
                <w:numId w:val="0"/>
              </w:numPr>
              <w:ind w:firstLine="480" w:firstLineChars="200"/>
              <w:textAlignment w:val="baseline"/>
              <w:rPr>
                <w:rFonts w:hint="default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333333"/>
                <w:kern w:val="0"/>
                <w:sz w:val="24"/>
                <w:szCs w:val="32"/>
                <w:lang w:val="en-US" w:eastAsia="zh-CN"/>
              </w:rPr>
              <w:t>1200万元</w:t>
            </w:r>
          </w:p>
          <w:p w14:paraId="2E2A1FB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二、服务内容</w:t>
            </w:r>
          </w:p>
          <w:p w14:paraId="47EC6D8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（一）项目资金管理使用情况中期预审：开展不少于1次项目资金管理使用情况中期检查，及时发现项目预算执行、财务核算问题并提出整改建议，并提交问题清单及其整改建议。</w:t>
            </w:r>
          </w:p>
          <w:p w14:paraId="32146A1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二）项目调整变更及预算调整事项建议：根据实际需要，为项目在发生项目目标、方案、内容、总投资、实施周期、建设地点、设备清单等调整，承担单位和负责人变更，承担单位间、预算科目间预算调剂等事项时，提供专业的咨询建议。</w:t>
            </w:r>
          </w:p>
          <w:p w14:paraId="28068D2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三）项目实施期间日常疑难问题解答：在项目实施过程中，协助公司解答日常遇到的各类项目财务管理和行政管理问题。根据需要在线参与公司组织的项目协调会、中期评审会、变更论证会等各类会议，并提供相关专业建议。</w:t>
            </w:r>
          </w:p>
          <w:p w14:paraId="6082330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（四）项目资金管理使用情况财务决算审计：项目实施完成且编制项目决算报表后，依据工信部相关资金管理办法，针对公司开展项目资金管理使用情况财务决算审计，并出具相关材料（纸质版+电子版）。</w:t>
            </w:r>
          </w:p>
          <w:p w14:paraId="43697C7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（五）项目验收会前后相关事项沟通支持：在项目验收会召开前，针对工信部就验收材料财务相关事项的反馈问题（若有），支持公司形成整改方案或情况说明。针对项目验收会上财务验收专家提出的疑问，协助公司与其开展专业、充分的沟通。</w:t>
            </w:r>
          </w:p>
          <w:p w14:paraId="3DAC9E3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baseline"/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三、项目周期</w:t>
            </w:r>
          </w:p>
          <w:p w14:paraId="4C64897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/>
              <w:textAlignment w:val="baseline"/>
              <w:rPr>
                <w:rFonts w:hint="default" w:ascii="仿宋" w:hAnsi="仿宋" w:eastAsia="仿宋" w:cs="仿宋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333333"/>
                <w:kern w:val="0"/>
                <w:sz w:val="24"/>
                <w:szCs w:val="32"/>
                <w:lang w:val="en-US" w:eastAsia="zh-CN"/>
              </w:rPr>
              <w:t>合同签订后至2027年9月30日。</w:t>
            </w:r>
          </w:p>
        </w:tc>
        <w:tc>
          <w:tcPr>
            <w:tcW w:w="1768" w:type="dxa"/>
            <w:shd w:val="clear" w:color="auto" w:fill="auto"/>
            <w:vAlign w:val="center"/>
          </w:tcPr>
          <w:p w14:paraId="29E8D1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 w:val="0"/>
                <w:bCs w:val="0"/>
                <w:sz w:val="32"/>
                <w:szCs w:val="32"/>
                <w:lang w:val="en-US" w:eastAsia="zh-CN"/>
              </w:rPr>
            </w:pPr>
          </w:p>
        </w:tc>
      </w:tr>
      <w:tr w14:paraId="723FCFD2">
        <w:trPr>
          <w:trHeight w:val="865" w:hRule="atLeast"/>
          <w:jc w:val="center"/>
        </w:trPr>
        <w:tc>
          <w:tcPr>
            <w:tcW w:w="1396" w:type="dxa"/>
            <w:shd w:val="clear" w:color="auto" w:fill="auto"/>
            <w:vAlign w:val="center"/>
          </w:tcPr>
          <w:p w14:paraId="05844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总价（</w:t>
            </w: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  <w:lang w:val="en-US" w:eastAsia="zh-CN"/>
              </w:rPr>
              <w:t>万</w:t>
            </w:r>
            <w:r>
              <w:rPr>
                <w:rFonts w:hint="eastAsia" w:ascii="仿宋" w:hAnsi="仿宋" w:eastAsia="仿宋" w:cs="仿宋"/>
                <w:b/>
                <w:color w:val="000000"/>
                <w:kern w:val="0"/>
                <w:sz w:val="24"/>
                <w:szCs w:val="24"/>
              </w:rPr>
              <w:t>元）</w:t>
            </w:r>
          </w:p>
        </w:tc>
        <w:tc>
          <w:tcPr>
            <w:tcW w:w="6012" w:type="dxa"/>
            <w:shd w:val="clear" w:color="auto" w:fill="auto"/>
            <w:vAlign w:val="center"/>
          </w:tcPr>
          <w:p w14:paraId="4280DD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 w:eastAsia="zh-CN"/>
              </w:rPr>
              <w:t>*****万元（大写：*****）</w:t>
            </w:r>
          </w:p>
        </w:tc>
        <w:tc>
          <w:tcPr>
            <w:tcW w:w="1768" w:type="dxa"/>
            <w:shd w:val="clear" w:color="auto" w:fill="auto"/>
            <w:vAlign w:val="center"/>
          </w:tcPr>
          <w:p w14:paraId="5A7E8E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ascii="仿宋" w:hAnsi="仿宋" w:eastAsia="仿宋" w:cs="仿宋"/>
                <w:b/>
                <w:bCs/>
                <w:sz w:val="32"/>
                <w:szCs w:val="32"/>
                <w:lang w:val="en-US" w:eastAsia="zh-CN"/>
              </w:rPr>
            </w:pPr>
          </w:p>
        </w:tc>
      </w:tr>
    </w:tbl>
    <w:p w14:paraId="4A95E5CD">
      <w:pPr>
        <w:spacing w:line="360" w:lineRule="auto"/>
        <w:rPr>
          <w:rFonts w:hint="eastAsia" w:ascii="仿宋" w:hAnsi="仿宋" w:eastAsia="仿宋" w:cs="Times New Roman"/>
          <w:bCs/>
          <w:sz w:val="28"/>
          <w:szCs w:val="28"/>
        </w:rPr>
      </w:pPr>
      <w:r>
        <w:rPr>
          <w:rFonts w:hint="eastAsia" w:ascii="仿宋" w:hAnsi="仿宋" w:eastAsia="仿宋" w:cs="Times New Roman"/>
          <w:bCs/>
          <w:sz w:val="28"/>
          <w:szCs w:val="28"/>
          <w:lang w:val="en-US" w:eastAsia="zh-CN"/>
        </w:rPr>
        <w:t>单位</w:t>
      </w:r>
      <w:r>
        <w:rPr>
          <w:rFonts w:hint="eastAsia" w:ascii="仿宋" w:hAnsi="仿宋" w:eastAsia="仿宋" w:cs="Times New Roman"/>
          <w:bCs/>
          <w:sz w:val="28"/>
          <w:szCs w:val="28"/>
        </w:rPr>
        <w:t>名称（盖章）：</w:t>
      </w:r>
    </w:p>
    <w:p w14:paraId="5745DAC2">
      <w:pPr>
        <w:spacing w:line="360" w:lineRule="auto"/>
        <w:rPr>
          <w:rFonts w:hint="eastAsia" w:ascii="仿宋" w:hAnsi="仿宋" w:eastAsia="仿宋" w:cs="Times New Roman"/>
          <w:bCs/>
          <w:sz w:val="28"/>
          <w:szCs w:val="28"/>
        </w:rPr>
      </w:pPr>
      <w:r>
        <w:rPr>
          <w:rFonts w:hint="eastAsia" w:ascii="仿宋" w:hAnsi="仿宋" w:eastAsia="仿宋" w:cs="Times New Roman"/>
          <w:bCs/>
          <w:sz w:val="28"/>
          <w:szCs w:val="28"/>
        </w:rPr>
        <w:t>法定代表人或授权代表签字（签字或盖章）：</w:t>
      </w:r>
    </w:p>
    <w:p w14:paraId="38A65518">
      <w:pPr>
        <w:spacing w:line="360" w:lineRule="auto"/>
      </w:pPr>
      <w:r>
        <w:rPr>
          <w:rFonts w:hint="eastAsia" w:ascii="仿宋" w:hAnsi="仿宋" w:eastAsia="仿宋" w:cs="Times New Roman"/>
          <w:bCs/>
          <w:sz w:val="28"/>
          <w:szCs w:val="28"/>
        </w:rPr>
        <w:t>日期：</w:t>
      </w:r>
      <w:r>
        <w:rPr>
          <w:rFonts w:hint="eastAsia" w:ascii="仿宋" w:hAnsi="仿宋" w:eastAsia="仿宋" w:cs="Times New Roman"/>
          <w:bCs/>
          <w:sz w:val="28"/>
          <w:szCs w:val="28"/>
          <w:lang w:val="en-US" w:eastAsia="zh-CN"/>
        </w:rPr>
        <w:t>2025年x月xx日</w:t>
      </w:r>
    </w:p>
    <w:sectPr>
      <w:pgSz w:w="11906" w:h="16838"/>
      <w:pgMar w:top="1440" w:right="1800" w:bottom="851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  <w:embedRegular r:id="rId1" w:fontKey="{DD234573-6CEE-A09F-997D-116930A9DC0E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FZXiaoBiaoSong-B05S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Hei-B01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Kai-Z03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FZFangSong-Z02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PMingLiU">
    <w:altName w:val="宋体-繁"/>
    <w:panose1 w:val="02020500000000000000"/>
    <w:charset w:val="88"/>
    <w:family w:val="roman"/>
    <w:pitch w:val="default"/>
    <w:sig w:usb0="00000000" w:usb1="00000000" w:usb2="00000016" w:usb3="00000000" w:csb0="00100001" w:csb1="00000000"/>
  </w:font>
  <w:font w:name="宋体-繁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2" w:fontKey="{E45F2E07-0103-E695-997D-1169B7952574}"/>
  </w:font>
  <w:font w:name="inherit">
    <w:altName w:val="苹方-简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0F3C52" w:usb2="00000016" w:usb3="00000000" w:csb0="0004001F" w:csb1="00000000"/>
    <w:embedRegular r:id="rId3" w:fontKey="{51A2748B-2F1B-FA5E-997D-116949B822DA}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3042045"/>
    <w:multiLevelType w:val="singleLevel"/>
    <w:tmpl w:val="E304204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2F4AB3"/>
    <w:multiLevelType w:val="multilevel"/>
    <w:tmpl w:val="6A2F4AB3"/>
    <w:lvl w:ilvl="0" w:tentative="0">
      <w:start w:val="1"/>
      <w:numFmt w:val="chineseCountingThousand"/>
      <w:suff w:val="nothing"/>
      <w:lvlText w:val="%1、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2"/>
      <w:isLgl/>
      <w:suff w:val="nothing"/>
      <w:lvlText w:val="%1.%2、"/>
      <w:lvlJc w:val="left"/>
      <w:pPr>
        <w:ind w:left="567" w:hanging="567"/>
      </w:pPr>
      <w:rPr>
        <w:rFonts w:hint="default" w:ascii="Times New Roman" w:hAnsi="Times New Roman" w:cs="Times New Roman"/>
      </w:rPr>
    </w:lvl>
    <w:lvl w:ilvl="2" w:tentative="0">
      <w:start w:val="1"/>
      <w:numFmt w:val="decimal"/>
      <w:isLgl/>
      <w:suff w:val="nothing"/>
      <w:lvlText w:val="%1.%2.%3、"/>
      <w:lvlJc w:val="left"/>
      <w:pPr>
        <w:ind w:left="1069" w:hanging="1069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851" w:hanging="851"/>
      </w:pPr>
      <w:rPr>
        <w:rFonts w:hint="default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FFF6736"/>
    <w:rsid w:val="068725B4"/>
    <w:rsid w:val="10983F1A"/>
    <w:rsid w:val="149BC98C"/>
    <w:rsid w:val="16BF78F4"/>
    <w:rsid w:val="1BFE8218"/>
    <w:rsid w:val="1CFE8FC6"/>
    <w:rsid w:val="287F1513"/>
    <w:rsid w:val="377BA3D6"/>
    <w:rsid w:val="377FCF75"/>
    <w:rsid w:val="37FE1EF2"/>
    <w:rsid w:val="386C091E"/>
    <w:rsid w:val="39104059"/>
    <w:rsid w:val="3A7F9B27"/>
    <w:rsid w:val="3DFF6853"/>
    <w:rsid w:val="3EF5CE12"/>
    <w:rsid w:val="3F535491"/>
    <w:rsid w:val="3FA34547"/>
    <w:rsid w:val="3FFE7207"/>
    <w:rsid w:val="3FFF1ABF"/>
    <w:rsid w:val="3FFF6736"/>
    <w:rsid w:val="486736C3"/>
    <w:rsid w:val="4AFDF7ED"/>
    <w:rsid w:val="4DFE0366"/>
    <w:rsid w:val="567BD31A"/>
    <w:rsid w:val="5BF5A489"/>
    <w:rsid w:val="5D5291D1"/>
    <w:rsid w:val="63E7A18D"/>
    <w:rsid w:val="68FFBAC2"/>
    <w:rsid w:val="6AAC73A7"/>
    <w:rsid w:val="6DFB966F"/>
    <w:rsid w:val="6EFD7881"/>
    <w:rsid w:val="6FD5836D"/>
    <w:rsid w:val="6FFF5CD8"/>
    <w:rsid w:val="71677131"/>
    <w:rsid w:val="72DF037C"/>
    <w:rsid w:val="747B29EC"/>
    <w:rsid w:val="74BFE0CE"/>
    <w:rsid w:val="75292D9A"/>
    <w:rsid w:val="7537303E"/>
    <w:rsid w:val="778F81AE"/>
    <w:rsid w:val="77BFB454"/>
    <w:rsid w:val="77C568C0"/>
    <w:rsid w:val="77FB4B84"/>
    <w:rsid w:val="78FDDD8D"/>
    <w:rsid w:val="7BBF8BDF"/>
    <w:rsid w:val="7BDB099C"/>
    <w:rsid w:val="7BFF9AED"/>
    <w:rsid w:val="7D2B16EE"/>
    <w:rsid w:val="7D3E1424"/>
    <w:rsid w:val="7DD853ED"/>
    <w:rsid w:val="7DE3BD80"/>
    <w:rsid w:val="7E5CB0D5"/>
    <w:rsid w:val="7E60532D"/>
    <w:rsid w:val="7EFF3C88"/>
    <w:rsid w:val="7F237504"/>
    <w:rsid w:val="7F3FFFF6"/>
    <w:rsid w:val="7FD5C647"/>
    <w:rsid w:val="7FEEF73E"/>
    <w:rsid w:val="7FF7F848"/>
    <w:rsid w:val="7FFA84A1"/>
    <w:rsid w:val="7FFE6743"/>
    <w:rsid w:val="9FFF3BF6"/>
    <w:rsid w:val="A61BAAF0"/>
    <w:rsid w:val="A99D6C8D"/>
    <w:rsid w:val="AAEFBE22"/>
    <w:rsid w:val="AC4B3A0B"/>
    <w:rsid w:val="ADD815D2"/>
    <w:rsid w:val="AF976BCA"/>
    <w:rsid w:val="B77FAD74"/>
    <w:rsid w:val="BBF5979C"/>
    <w:rsid w:val="BDD7AB69"/>
    <w:rsid w:val="BF7FE3D9"/>
    <w:rsid w:val="BFCFE755"/>
    <w:rsid w:val="BFFAAEFA"/>
    <w:rsid w:val="C7BAA2B7"/>
    <w:rsid w:val="CDDF81AE"/>
    <w:rsid w:val="CE7E2965"/>
    <w:rsid w:val="CF774068"/>
    <w:rsid w:val="D379676F"/>
    <w:rsid w:val="D3F69D1C"/>
    <w:rsid w:val="D9FFC87A"/>
    <w:rsid w:val="DCAFF3FD"/>
    <w:rsid w:val="DEF671C2"/>
    <w:rsid w:val="DF8D9E57"/>
    <w:rsid w:val="DFFF0208"/>
    <w:rsid w:val="E34FD5C1"/>
    <w:rsid w:val="E5FAD203"/>
    <w:rsid w:val="EDFF0607"/>
    <w:rsid w:val="EDFFDFEB"/>
    <w:rsid w:val="EE7FAC1A"/>
    <w:rsid w:val="EFD6FC63"/>
    <w:rsid w:val="EFDE694A"/>
    <w:rsid w:val="EFF757F5"/>
    <w:rsid w:val="F1FD5D99"/>
    <w:rsid w:val="F26FC7B3"/>
    <w:rsid w:val="F4BBAACD"/>
    <w:rsid w:val="F5FA0AD8"/>
    <w:rsid w:val="F6DB6CE2"/>
    <w:rsid w:val="F76F05A0"/>
    <w:rsid w:val="F77F0679"/>
    <w:rsid w:val="F79BA4D6"/>
    <w:rsid w:val="F7FB9C3B"/>
    <w:rsid w:val="FB9F7039"/>
    <w:rsid w:val="FDBC0D05"/>
    <w:rsid w:val="FDF60032"/>
    <w:rsid w:val="FF2E4B39"/>
    <w:rsid w:val="FF4FAC47"/>
    <w:rsid w:val="FFD79CE5"/>
    <w:rsid w:val="FFF17A99"/>
    <w:rsid w:val="FFF6EED1"/>
    <w:rsid w:val="FFF790F9"/>
    <w:rsid w:val="FFFF1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before="120" w:after="120" w:line="360" w:lineRule="auto"/>
      <w:jc w:val="both"/>
      <w:outlineLvl w:val="1"/>
    </w:pPr>
    <w:rPr>
      <w:rFonts w:eastAsia="宋体"/>
      <w:b/>
      <w:bCs/>
      <w:color w:val="auto"/>
      <w:kern w:val="2"/>
      <w:sz w:val="30"/>
      <w:szCs w:val="32"/>
      <w:lang w:val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Body text|41"/>
    <w:basedOn w:val="1"/>
    <w:link w:val="7"/>
    <w:qFormat/>
    <w:uiPriority w:val="0"/>
    <w:pPr>
      <w:shd w:val="clear" w:color="auto" w:fill="FFFFFF"/>
      <w:spacing w:before="260" w:after="260" w:line="280" w:lineRule="exact"/>
      <w:ind w:hanging="1320"/>
      <w:jc w:val="center"/>
    </w:pPr>
    <w:rPr>
      <w:rFonts w:ascii="PMingLiU" w:hAnsi="PMingLiU" w:eastAsia="PMingLiU" w:cs="PMingLiU"/>
      <w:spacing w:val="40"/>
      <w:sz w:val="28"/>
      <w:szCs w:val="28"/>
    </w:rPr>
  </w:style>
  <w:style w:type="character" w:customStyle="1" w:styleId="6">
    <w:name w:val="Body text|4 + Spacing 7 pt"/>
    <w:basedOn w:val="7"/>
    <w:semiHidden/>
    <w:unhideWhenUsed/>
    <w:qFormat/>
    <w:uiPriority w:val="0"/>
    <w:rPr>
      <w:rFonts w:ascii="PMingLiU" w:hAnsi="PMingLiU" w:eastAsia="PMingLiU" w:cs="PMingLiU"/>
      <w:color w:val="000000"/>
      <w:spacing w:val="150"/>
      <w:w w:val="100"/>
      <w:position w:val="0"/>
      <w:sz w:val="28"/>
      <w:szCs w:val="28"/>
      <w:u w:val="none"/>
      <w:lang w:val="zh-CN" w:eastAsia="zh-CN" w:bidi="zh-CN"/>
    </w:rPr>
  </w:style>
  <w:style w:type="character" w:customStyle="1" w:styleId="7">
    <w:name w:val="Body text|4_"/>
    <w:basedOn w:val="4"/>
    <w:link w:val="5"/>
    <w:qFormat/>
    <w:uiPriority w:val="0"/>
    <w:rPr>
      <w:rFonts w:ascii="PMingLiU" w:hAnsi="PMingLiU" w:eastAsia="PMingLiU" w:cs="PMingLiU"/>
      <w:spacing w:val="40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4665</Words>
  <Characters>4754</Characters>
  <Lines>0</Lines>
  <Paragraphs>0</Paragraphs>
  <TotalTime>2</TotalTime>
  <ScaleCrop>false</ScaleCrop>
  <LinksUpToDate>false</LinksUpToDate>
  <CharactersWithSpaces>4770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2025-04-09T11:38:00Z</dcterms:created>
  <dc:creator>妲己♥已成精</dc:creator>
  <cp:lastModifiedBy>Rising land--LUK</cp:lastModifiedBy>
  <dcterms:modified xsi:type="dcterms:W3CDTF">2025-11-10T13:52:25Z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ICV">
    <vt:lpwstr>4923AAFACD4D4AF3A2CD5155660D0F02_13</vt:lpwstr>
  </property>
  <property fmtid="{D5CDD505-2E9C-101B-9397-08002B2CF9AE}" pid="4" name="KSOTemplateDocerSaveRecord">
    <vt:lpwstr>eyJoZGlkIjoiZDA4ZTQ5NDQ2NjdiNjhlYTU3OGUzY2U3ZmI3Y2FkNzUiLCJ1c2VySWQiOiIxNTYwNzQ0NDU4In0=</vt:lpwstr>
  </property>
</Properties>
</file>