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D24FC6">
      <w:pPr>
        <w:jc w:val="center"/>
        <w:rPr>
          <w:rFonts w:hint="eastAsia" w:ascii="仿宋" w:hAnsi="仿宋" w:eastAsia="仿宋" w:cs="微软雅黑"/>
          <w:b/>
          <w:bCs/>
          <w:sz w:val="44"/>
          <w:szCs w:val="44"/>
          <w:lang w:val="en-US" w:eastAsia="zh-CN"/>
        </w:rPr>
      </w:pPr>
    </w:p>
    <w:p w14:paraId="40CF2870">
      <w:pPr>
        <w:jc w:val="center"/>
        <w:rPr>
          <w:rFonts w:hint="eastAsia" w:ascii="仿宋" w:hAnsi="仿宋" w:eastAsia="仿宋" w:cs="微软雅黑"/>
          <w:b/>
          <w:bCs/>
          <w:sz w:val="44"/>
          <w:szCs w:val="44"/>
          <w:lang w:val="en-US" w:eastAsia="zh-CN"/>
        </w:rPr>
      </w:pPr>
    </w:p>
    <w:p w14:paraId="4D47972B">
      <w:pPr>
        <w:jc w:val="center"/>
        <w:rPr>
          <w:rFonts w:hint="default" w:ascii="仿宋" w:hAnsi="仿宋" w:eastAsia="仿宋" w:cs="微软雅黑"/>
          <w:b/>
          <w:bCs/>
          <w:sz w:val="44"/>
          <w:szCs w:val="44"/>
          <w:lang w:val="en-US" w:eastAsia="zh-CN"/>
        </w:rPr>
      </w:pPr>
      <w:r>
        <w:rPr>
          <w:rFonts w:hint="eastAsia" w:ascii="仿宋" w:hAnsi="仿宋" w:eastAsia="仿宋" w:cs="微软雅黑"/>
          <w:b/>
          <w:bCs/>
          <w:sz w:val="44"/>
          <w:szCs w:val="44"/>
          <w:lang w:val="en-US" w:eastAsia="zh-CN"/>
        </w:rPr>
        <w:t>高科集团智慧管控平台项目</w:t>
      </w:r>
    </w:p>
    <w:p w14:paraId="12ECFD6A">
      <w:pPr>
        <w:jc w:val="center"/>
        <w:rPr>
          <w:rFonts w:hint="default" w:ascii="仿宋" w:hAnsi="仿宋" w:eastAsia="仿宋" w:cs="微软雅黑"/>
          <w:b/>
          <w:bCs/>
          <w:sz w:val="44"/>
          <w:szCs w:val="44"/>
          <w:lang w:val="en-US" w:eastAsia="zh-CN"/>
        </w:rPr>
      </w:pPr>
      <w:r>
        <w:rPr>
          <w:rFonts w:hint="eastAsia" w:ascii="仿宋" w:hAnsi="仿宋" w:eastAsia="仿宋" w:cs="微软雅黑"/>
          <w:b/>
          <w:bCs/>
          <w:sz w:val="44"/>
          <w:szCs w:val="44"/>
          <w:lang w:val="en-US" w:eastAsia="zh-CN"/>
        </w:rPr>
        <w:t>造价服务</w:t>
      </w:r>
    </w:p>
    <w:p w14:paraId="5D294D78">
      <w:pPr>
        <w:jc w:val="both"/>
        <w:rPr>
          <w:rFonts w:hint="eastAsia" w:ascii="方正小标宋简体" w:eastAsia="方正小标宋简体"/>
          <w:spacing w:val="-20"/>
          <w:sz w:val="96"/>
          <w:szCs w:val="44"/>
        </w:rPr>
      </w:pPr>
    </w:p>
    <w:p w14:paraId="01D1D966">
      <w:pPr>
        <w:jc w:val="center"/>
        <w:rPr>
          <w:rFonts w:hint="eastAsia" w:ascii="方正小标宋简体" w:eastAsia="方正小标宋简体"/>
          <w:spacing w:val="-20"/>
          <w:sz w:val="96"/>
          <w:szCs w:val="44"/>
        </w:rPr>
      </w:pPr>
      <w:r>
        <w:rPr>
          <w:rFonts w:hint="eastAsia" w:ascii="方正小标宋简体" w:eastAsia="方正小标宋简体"/>
          <w:spacing w:val="-20"/>
          <w:sz w:val="96"/>
          <w:szCs w:val="44"/>
          <w:lang w:val="en-US" w:eastAsia="zh-CN"/>
        </w:rPr>
        <w:t>预</w:t>
      </w:r>
      <w:r>
        <w:rPr>
          <w:rFonts w:hint="eastAsia" w:ascii="方正小标宋简体" w:eastAsia="方正小标宋简体"/>
          <w:spacing w:val="-20"/>
          <w:sz w:val="96"/>
          <w:szCs w:val="44"/>
        </w:rPr>
        <w:t>询价文件</w:t>
      </w:r>
    </w:p>
    <w:p w14:paraId="45DB2044">
      <w:pPr>
        <w:spacing w:line="560" w:lineRule="exact"/>
        <w:jc w:val="center"/>
        <w:rPr>
          <w:rFonts w:hint="eastAsia" w:ascii="方正小标宋简体" w:eastAsia="方正小标宋简体"/>
          <w:spacing w:val="-20"/>
          <w:sz w:val="72"/>
          <w:szCs w:val="44"/>
        </w:rPr>
      </w:pPr>
    </w:p>
    <w:p w14:paraId="0A429601">
      <w:pPr>
        <w:spacing w:line="560" w:lineRule="exact"/>
        <w:jc w:val="center"/>
        <w:rPr>
          <w:rFonts w:hint="eastAsia" w:ascii="方正小标宋简体" w:eastAsia="方正小标宋简体"/>
          <w:spacing w:val="-20"/>
          <w:sz w:val="72"/>
          <w:szCs w:val="44"/>
        </w:rPr>
      </w:pPr>
    </w:p>
    <w:p w14:paraId="0DA8C3B6">
      <w:pPr>
        <w:spacing w:line="560" w:lineRule="exact"/>
        <w:jc w:val="center"/>
        <w:rPr>
          <w:rFonts w:hint="eastAsia" w:ascii="方正小标宋简体" w:eastAsia="方正小标宋简体"/>
          <w:spacing w:val="-20"/>
          <w:sz w:val="72"/>
          <w:szCs w:val="44"/>
        </w:rPr>
      </w:pPr>
    </w:p>
    <w:p w14:paraId="57DDB341">
      <w:pPr>
        <w:spacing w:line="560" w:lineRule="exact"/>
        <w:jc w:val="center"/>
        <w:rPr>
          <w:rFonts w:hint="eastAsia" w:ascii="方正小标宋简体" w:eastAsia="方正小标宋简体"/>
          <w:spacing w:val="-20"/>
          <w:sz w:val="72"/>
          <w:szCs w:val="44"/>
        </w:rPr>
      </w:pPr>
    </w:p>
    <w:p w14:paraId="6C2B6FD4">
      <w:pPr>
        <w:spacing w:line="560" w:lineRule="exact"/>
        <w:jc w:val="center"/>
        <w:rPr>
          <w:rFonts w:hint="eastAsia" w:ascii="方正小标宋简体" w:eastAsia="方正小标宋简体"/>
          <w:spacing w:val="-20"/>
          <w:sz w:val="36"/>
          <w:szCs w:val="44"/>
        </w:rPr>
      </w:pPr>
    </w:p>
    <w:p w14:paraId="4EE5B013">
      <w:pPr>
        <w:rPr>
          <w:rFonts w:hint="eastAsia" w:ascii="方正小标宋简体" w:eastAsia="方正小标宋简体"/>
          <w:spacing w:val="-20"/>
          <w:sz w:val="36"/>
          <w:szCs w:val="44"/>
        </w:rPr>
      </w:pPr>
    </w:p>
    <w:p w14:paraId="7C6FE8E1">
      <w:pPr>
        <w:spacing w:line="560" w:lineRule="exact"/>
        <w:jc w:val="center"/>
        <w:rPr>
          <w:rFonts w:ascii="方正小标宋简体" w:eastAsia="方正小标宋简体"/>
          <w:spacing w:val="-20"/>
          <w:sz w:val="36"/>
          <w:szCs w:val="44"/>
        </w:rPr>
      </w:pPr>
      <w:r>
        <w:rPr>
          <w:rFonts w:hint="eastAsia" w:ascii="方正小标宋简体" w:eastAsia="方正小标宋简体"/>
          <w:spacing w:val="-20"/>
          <w:sz w:val="36"/>
          <w:szCs w:val="44"/>
        </w:rPr>
        <w:t>成都</w:t>
      </w:r>
      <w:r>
        <w:rPr>
          <w:rFonts w:ascii="方正小标宋简体" w:eastAsia="方正小标宋简体"/>
          <w:spacing w:val="-20"/>
          <w:sz w:val="36"/>
          <w:szCs w:val="44"/>
        </w:rPr>
        <w:t>高投盈创动力投资发展有限公司</w:t>
      </w:r>
    </w:p>
    <w:p w14:paraId="2E0B57EC">
      <w:pPr>
        <w:spacing w:line="560" w:lineRule="exact"/>
        <w:jc w:val="center"/>
        <w:rPr>
          <w:rFonts w:ascii="方正小标宋简体" w:eastAsia="方正小标宋简体"/>
          <w:spacing w:val="-20"/>
          <w:sz w:val="36"/>
          <w:szCs w:val="44"/>
        </w:rPr>
      </w:pPr>
    </w:p>
    <w:p w14:paraId="10A20C8F">
      <w:pPr>
        <w:spacing w:line="560" w:lineRule="exact"/>
        <w:jc w:val="center"/>
        <w:rPr>
          <w:rFonts w:ascii="方正小标宋简体" w:eastAsia="方正小标宋简体"/>
          <w:spacing w:val="-20"/>
          <w:sz w:val="36"/>
          <w:szCs w:val="44"/>
        </w:rPr>
      </w:pPr>
    </w:p>
    <w:p w14:paraId="65BCF4F5">
      <w:pPr>
        <w:spacing w:line="560" w:lineRule="exact"/>
        <w:jc w:val="center"/>
        <w:rPr>
          <w:rFonts w:ascii="方正小标宋简体" w:eastAsia="方正小标宋简体"/>
          <w:spacing w:val="-20"/>
          <w:sz w:val="36"/>
          <w:szCs w:val="44"/>
        </w:rPr>
      </w:pPr>
    </w:p>
    <w:p w14:paraId="12FA5A8A">
      <w:pPr>
        <w:spacing w:line="560" w:lineRule="exact"/>
        <w:jc w:val="center"/>
        <w:rPr>
          <w:rFonts w:ascii="方正小标宋简体" w:eastAsia="方正小标宋简体"/>
          <w:spacing w:val="-20"/>
          <w:sz w:val="36"/>
          <w:szCs w:val="44"/>
        </w:rPr>
      </w:pPr>
    </w:p>
    <w:p w14:paraId="550F0D25">
      <w:pPr>
        <w:spacing w:line="560" w:lineRule="exact"/>
        <w:jc w:val="center"/>
        <w:rPr>
          <w:rFonts w:ascii="方正小标宋简体" w:eastAsia="方正小标宋简体"/>
          <w:spacing w:val="-20"/>
          <w:sz w:val="36"/>
          <w:szCs w:val="44"/>
        </w:rPr>
      </w:pPr>
    </w:p>
    <w:p w14:paraId="05628459">
      <w:pPr>
        <w:spacing w:line="560" w:lineRule="exact"/>
        <w:jc w:val="center"/>
        <w:rPr>
          <w:rFonts w:ascii="方正小标宋简体" w:eastAsia="方正小标宋简体"/>
          <w:spacing w:val="-20"/>
          <w:sz w:val="36"/>
          <w:szCs w:val="44"/>
        </w:rPr>
      </w:pPr>
    </w:p>
    <w:p w14:paraId="72C84E9C">
      <w:pPr>
        <w:spacing w:line="560" w:lineRule="exact"/>
        <w:jc w:val="both"/>
        <w:rPr>
          <w:rFonts w:ascii="方正小标宋简体" w:eastAsia="方正小标宋简体"/>
          <w:spacing w:val="-20"/>
          <w:sz w:val="36"/>
          <w:szCs w:val="44"/>
        </w:rPr>
      </w:pPr>
    </w:p>
    <w:p w14:paraId="0703655E">
      <w:pPr>
        <w:widowControl/>
        <w:spacing w:line="420" w:lineRule="atLeast"/>
        <w:textAlignment w:val="baseline"/>
        <w:rPr>
          <w:rFonts w:hint="eastAsia" w:ascii="仿宋_GB2312" w:hAnsi="宋体" w:eastAsia="仿宋_GB2312" w:cs="宋体"/>
          <w:b/>
          <w:color w:val="000000"/>
          <w:kern w:val="0"/>
          <w:sz w:val="32"/>
          <w:szCs w:val="32"/>
        </w:rPr>
      </w:pPr>
      <w:r>
        <w:rPr>
          <w:rFonts w:hint="eastAsia" w:ascii="仿宋_GB2312" w:hAnsi="黑体" w:eastAsia="仿宋_GB2312" w:cs="宋体"/>
          <w:b/>
          <w:color w:val="000000"/>
          <w:kern w:val="0"/>
          <w:sz w:val="32"/>
          <w:szCs w:val="32"/>
        </w:rPr>
        <w:t>一、</w:t>
      </w:r>
      <w:r>
        <w:rPr>
          <w:rFonts w:hint="eastAsia" w:ascii="仿宋_GB2312" w:hAnsi="黑体" w:eastAsia="仿宋_GB2312" w:cs="宋体"/>
          <w:b/>
          <w:bCs/>
          <w:color w:val="000000"/>
          <w:kern w:val="0"/>
          <w:sz w:val="32"/>
          <w:szCs w:val="32"/>
        </w:rPr>
        <w:t>注意事项</w:t>
      </w:r>
    </w:p>
    <w:p w14:paraId="5827485F">
      <w:pPr>
        <w:keepNext w:val="0"/>
        <w:keepLines w:val="0"/>
        <w:pageBreakBefore w:val="0"/>
        <w:widowControl/>
        <w:kinsoku/>
        <w:wordWrap/>
        <w:overflowPunct/>
        <w:topLinePunct w:val="0"/>
        <w:autoSpaceDE/>
        <w:autoSpaceDN/>
        <w:bidi w:val="0"/>
        <w:adjustRightInd/>
        <w:snapToGrid/>
        <w:spacing w:line="420" w:lineRule="atLeast"/>
        <w:ind w:firstLine="640" w:firstLineChars="20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报价</w:t>
      </w:r>
      <w:r>
        <w:rPr>
          <w:rFonts w:ascii="仿宋_GB2312" w:hAnsi="宋体" w:eastAsia="仿宋_GB2312" w:cs="宋体"/>
          <w:color w:val="000000"/>
          <w:kern w:val="0"/>
          <w:sz w:val="32"/>
          <w:szCs w:val="32"/>
        </w:rPr>
        <w:t>单位</w:t>
      </w:r>
      <w:r>
        <w:rPr>
          <w:rFonts w:hint="eastAsia" w:ascii="仿宋_GB2312" w:hAnsi="宋体" w:eastAsia="仿宋_GB2312" w:cs="宋体"/>
          <w:color w:val="000000"/>
          <w:kern w:val="0"/>
          <w:sz w:val="32"/>
          <w:szCs w:val="32"/>
        </w:rPr>
        <w:t>应就以下</w:t>
      </w:r>
      <w:r>
        <w:rPr>
          <w:rFonts w:hint="eastAsia" w:ascii="仿宋_GB2312" w:hAnsi="宋体" w:eastAsia="仿宋_GB2312" w:cs="宋体"/>
          <w:color w:val="000000"/>
          <w:kern w:val="0"/>
          <w:sz w:val="32"/>
          <w:szCs w:val="32"/>
          <w:lang w:val="en-US" w:eastAsia="zh-CN"/>
        </w:rPr>
        <w:t>预</w:t>
      </w:r>
      <w:r>
        <w:rPr>
          <w:rFonts w:hint="eastAsia" w:ascii="仿宋_GB2312" w:hAnsi="宋体" w:eastAsia="仿宋_GB2312" w:cs="宋体"/>
          <w:color w:val="000000"/>
          <w:kern w:val="0"/>
          <w:sz w:val="32"/>
          <w:szCs w:val="32"/>
        </w:rPr>
        <w:t>询价要求，在</w:t>
      </w:r>
      <w:r>
        <w:rPr>
          <w:rFonts w:ascii="仿宋_GB2312" w:hAnsi="inherit" w:eastAsia="仿宋_GB2312" w:cs="宋体"/>
          <w:kern w:val="0"/>
          <w:sz w:val="32"/>
          <w:szCs w:val="32"/>
          <w:u w:val="single"/>
        </w:rPr>
        <w:t>202</w:t>
      </w:r>
      <w:r>
        <w:rPr>
          <w:rFonts w:hint="eastAsia" w:ascii="仿宋_GB2312" w:hAnsi="inherit" w:eastAsia="仿宋_GB2312" w:cs="宋体"/>
          <w:kern w:val="0"/>
          <w:sz w:val="32"/>
          <w:szCs w:val="32"/>
          <w:u w:val="single"/>
          <w:lang w:val="en-US" w:eastAsia="zh-CN"/>
        </w:rPr>
        <w:t>5</w:t>
      </w:r>
      <w:r>
        <w:rPr>
          <w:rFonts w:hint="eastAsia" w:ascii="仿宋_GB2312" w:hAnsi="inherit" w:eastAsia="仿宋_GB2312" w:cs="宋体"/>
          <w:kern w:val="0"/>
          <w:sz w:val="32"/>
          <w:szCs w:val="32"/>
        </w:rPr>
        <w:t>年</w:t>
      </w:r>
      <w:r>
        <w:rPr>
          <w:rFonts w:hint="eastAsia" w:ascii="仿宋_GB2312" w:hAnsi="inherit" w:eastAsia="仿宋_GB2312" w:cs="宋体"/>
          <w:kern w:val="0"/>
          <w:sz w:val="32"/>
          <w:szCs w:val="32"/>
          <w:u w:val="single"/>
          <w:lang w:val="en-US" w:eastAsia="zh-CN"/>
        </w:rPr>
        <w:t>9</w:t>
      </w:r>
      <w:r>
        <w:rPr>
          <w:rFonts w:hint="eastAsia" w:ascii="仿宋_GB2312" w:hAnsi="inherit" w:eastAsia="仿宋_GB2312" w:cs="宋体"/>
          <w:kern w:val="0"/>
          <w:sz w:val="32"/>
          <w:szCs w:val="32"/>
        </w:rPr>
        <w:t>月</w:t>
      </w:r>
      <w:r>
        <w:rPr>
          <w:rFonts w:hint="eastAsia" w:ascii="仿宋_GB2312" w:hAnsi="inherit" w:eastAsia="仿宋_GB2312" w:cs="宋体"/>
          <w:kern w:val="0"/>
          <w:sz w:val="32"/>
          <w:szCs w:val="32"/>
          <w:u w:val="single"/>
          <w:lang w:val="en-US" w:eastAsia="zh-CN"/>
        </w:rPr>
        <w:t>27</w:t>
      </w:r>
      <w:r>
        <w:rPr>
          <w:rFonts w:hint="eastAsia" w:ascii="仿宋_GB2312" w:hAnsi="inherit" w:eastAsia="仿宋_GB2312" w:cs="宋体"/>
          <w:kern w:val="0"/>
          <w:sz w:val="32"/>
          <w:szCs w:val="32"/>
        </w:rPr>
        <w:t>日下午</w:t>
      </w:r>
      <w:r>
        <w:rPr>
          <w:rFonts w:ascii="仿宋_GB2312" w:hAnsi="inherit" w:eastAsia="仿宋_GB2312" w:cs="宋体"/>
          <w:kern w:val="0"/>
          <w:sz w:val="32"/>
          <w:szCs w:val="32"/>
          <w:u w:val="single"/>
        </w:rPr>
        <w:t>17</w:t>
      </w:r>
      <w:r>
        <w:rPr>
          <w:rFonts w:hint="eastAsia" w:ascii="仿宋_GB2312" w:hAnsi="inherit" w:eastAsia="仿宋_GB2312" w:cs="宋体"/>
          <w:kern w:val="0"/>
          <w:sz w:val="32"/>
          <w:szCs w:val="32"/>
          <w:u w:val="single"/>
          <w:lang w:val="en-US" w:eastAsia="zh-CN"/>
        </w:rPr>
        <w:t>:</w:t>
      </w:r>
      <w:r>
        <w:rPr>
          <w:rFonts w:hint="eastAsia" w:ascii="仿宋_GB2312" w:hAnsi="inherit" w:eastAsia="仿宋_GB2312" w:cs="宋体"/>
          <w:kern w:val="0"/>
          <w:sz w:val="32"/>
          <w:szCs w:val="32"/>
          <w:u w:val="single"/>
        </w:rPr>
        <w:t>0</w:t>
      </w:r>
      <w:r>
        <w:rPr>
          <w:rFonts w:ascii="仿宋_GB2312" w:hAnsi="inherit" w:eastAsia="仿宋_GB2312" w:cs="宋体"/>
          <w:kern w:val="0"/>
          <w:sz w:val="32"/>
          <w:szCs w:val="32"/>
          <w:u w:val="single"/>
        </w:rPr>
        <w:t>0</w:t>
      </w:r>
      <w:r>
        <w:rPr>
          <w:rFonts w:hint="eastAsia" w:ascii="仿宋_GB2312" w:hAnsi="inherit" w:eastAsia="仿宋_GB2312" w:cs="宋体"/>
          <w:kern w:val="0"/>
          <w:sz w:val="32"/>
          <w:szCs w:val="32"/>
        </w:rPr>
        <w:t>时前</w:t>
      </w:r>
      <w:r>
        <w:rPr>
          <w:rFonts w:hint="eastAsia" w:ascii="仿宋_GB2312" w:hAnsi="宋体" w:eastAsia="仿宋_GB2312" w:cs="宋体"/>
          <w:color w:val="000000"/>
          <w:kern w:val="0"/>
          <w:sz w:val="32"/>
          <w:szCs w:val="32"/>
        </w:rPr>
        <w:t>，向成都高投</w:t>
      </w:r>
      <w:r>
        <w:rPr>
          <w:rFonts w:ascii="仿宋_GB2312" w:hAnsi="宋体" w:eastAsia="仿宋_GB2312" w:cs="宋体"/>
          <w:color w:val="000000"/>
          <w:kern w:val="0"/>
          <w:sz w:val="32"/>
          <w:szCs w:val="32"/>
        </w:rPr>
        <w:t>盈创动力投资发展有限公司（</w:t>
      </w:r>
      <w:r>
        <w:rPr>
          <w:rFonts w:hint="eastAsia" w:ascii="仿宋_GB2312" w:hAnsi="宋体" w:eastAsia="仿宋_GB2312" w:cs="宋体"/>
          <w:color w:val="000000"/>
          <w:kern w:val="0"/>
          <w:sz w:val="32"/>
          <w:szCs w:val="32"/>
        </w:rPr>
        <w:t>以下</w:t>
      </w:r>
      <w:r>
        <w:rPr>
          <w:rFonts w:ascii="仿宋_GB2312" w:hAnsi="宋体" w:eastAsia="仿宋_GB2312" w:cs="宋体"/>
          <w:color w:val="000000"/>
          <w:kern w:val="0"/>
          <w:sz w:val="32"/>
          <w:szCs w:val="32"/>
        </w:rPr>
        <w:t>简称“盈创</w:t>
      </w:r>
      <w:r>
        <w:rPr>
          <w:rFonts w:hint="eastAsia" w:ascii="仿宋_GB2312" w:hAnsi="宋体" w:eastAsia="仿宋_GB2312" w:cs="宋体"/>
          <w:color w:val="000000"/>
          <w:kern w:val="0"/>
          <w:sz w:val="32"/>
          <w:szCs w:val="32"/>
          <w:lang w:val="en-US" w:eastAsia="zh-CN"/>
        </w:rPr>
        <w:t>动力</w:t>
      </w:r>
      <w:r>
        <w:rPr>
          <w:rFonts w:ascii="仿宋_GB2312" w:hAnsi="宋体" w:eastAsia="仿宋_GB2312" w:cs="宋体"/>
          <w:color w:val="000000"/>
          <w:kern w:val="0"/>
          <w:sz w:val="32"/>
          <w:szCs w:val="32"/>
        </w:rPr>
        <w:t>公司”）</w:t>
      </w:r>
      <w:r>
        <w:rPr>
          <w:rFonts w:hint="eastAsia" w:ascii="仿宋_GB2312" w:hAnsi="宋体" w:eastAsia="仿宋_GB2312" w:cs="宋体"/>
          <w:color w:val="000000"/>
          <w:kern w:val="0"/>
          <w:sz w:val="32"/>
          <w:szCs w:val="32"/>
        </w:rPr>
        <w:t>做出一次性书面报价。</w:t>
      </w:r>
    </w:p>
    <w:p w14:paraId="718CE693">
      <w:pPr>
        <w:widowControl/>
        <w:spacing w:line="420" w:lineRule="atLeast"/>
        <w:textAlignment w:val="baseline"/>
        <w:rPr>
          <w:rFonts w:hint="eastAsia" w:ascii="仿宋_GB2312" w:hAnsi="宋体" w:eastAsia="仿宋_GB2312" w:cs="宋体"/>
          <w:b/>
          <w:color w:val="000000"/>
          <w:kern w:val="0"/>
          <w:sz w:val="32"/>
          <w:szCs w:val="32"/>
        </w:rPr>
      </w:pPr>
      <w:r>
        <w:rPr>
          <w:rFonts w:hint="eastAsia" w:ascii="仿宋_GB2312" w:hAnsi="黑体" w:eastAsia="仿宋_GB2312" w:cs="宋体"/>
          <w:b/>
          <w:color w:val="000000"/>
          <w:kern w:val="0"/>
          <w:sz w:val="32"/>
          <w:szCs w:val="32"/>
        </w:rPr>
        <w:t>二、</w:t>
      </w:r>
      <w:r>
        <w:rPr>
          <w:rFonts w:hint="eastAsia" w:ascii="仿宋_GB2312" w:hAnsi="黑体" w:eastAsia="仿宋_GB2312" w:cs="宋体"/>
          <w:b/>
          <w:color w:val="000000"/>
          <w:kern w:val="0"/>
          <w:sz w:val="32"/>
          <w:szCs w:val="32"/>
          <w:lang w:val="en-US" w:eastAsia="zh-CN"/>
        </w:rPr>
        <w:t>预</w:t>
      </w:r>
      <w:r>
        <w:rPr>
          <w:rFonts w:hint="eastAsia" w:ascii="仿宋_GB2312" w:hAnsi="黑体" w:eastAsia="仿宋_GB2312" w:cs="宋体"/>
          <w:b/>
          <w:color w:val="000000"/>
          <w:kern w:val="0"/>
          <w:sz w:val="32"/>
          <w:szCs w:val="32"/>
        </w:rPr>
        <w:t>询价要求</w:t>
      </w:r>
    </w:p>
    <w:tbl>
      <w:tblPr>
        <w:tblStyle w:val="5"/>
        <w:tblW w:w="8610" w:type="dxa"/>
        <w:jc w:val="center"/>
        <w:tblLayout w:type="autofit"/>
        <w:tblCellMar>
          <w:top w:w="0" w:type="dxa"/>
          <w:left w:w="0" w:type="dxa"/>
          <w:bottom w:w="0" w:type="dxa"/>
          <w:right w:w="0" w:type="dxa"/>
        </w:tblCellMar>
      </w:tblPr>
      <w:tblGrid>
        <w:gridCol w:w="841"/>
        <w:gridCol w:w="1559"/>
        <w:gridCol w:w="6210"/>
      </w:tblGrid>
      <w:tr w14:paraId="2541CA91">
        <w:tblPrEx>
          <w:tblCellMar>
            <w:top w:w="0" w:type="dxa"/>
            <w:left w:w="0" w:type="dxa"/>
            <w:bottom w:w="0" w:type="dxa"/>
            <w:right w:w="0" w:type="dxa"/>
          </w:tblCellMar>
        </w:tblPrEx>
        <w:trPr>
          <w:trHeight w:val="407" w:hRule="atLeast"/>
          <w:jc w:val="center"/>
        </w:trPr>
        <w:tc>
          <w:tcPr>
            <w:tcW w:w="841" w:type="dxa"/>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DFA96">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序号</w:t>
            </w:r>
          </w:p>
        </w:tc>
        <w:tc>
          <w:tcPr>
            <w:tcW w:w="1559"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F350D5">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名 称</w:t>
            </w:r>
          </w:p>
        </w:tc>
        <w:tc>
          <w:tcPr>
            <w:tcW w:w="621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43C76E">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黑体" w:eastAsia="仿宋_GB2312" w:cs="宋体"/>
                <w:color w:val="000000"/>
                <w:kern w:val="0"/>
                <w:sz w:val="28"/>
                <w:szCs w:val="32"/>
              </w:rPr>
              <w:t>要求</w:t>
            </w:r>
          </w:p>
        </w:tc>
      </w:tr>
      <w:tr w14:paraId="5A97C09D">
        <w:tblPrEx>
          <w:tblCellMar>
            <w:top w:w="0" w:type="dxa"/>
            <w:left w:w="0" w:type="dxa"/>
            <w:bottom w:w="0" w:type="dxa"/>
            <w:right w:w="0" w:type="dxa"/>
          </w:tblCellMar>
        </w:tblPrEx>
        <w:trPr>
          <w:trHeight w:val="1260"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0FC1BBA">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1</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312A49">
            <w:pPr>
              <w:widowControl/>
              <w:spacing w:line="360" w:lineRule="atLeast"/>
              <w:textAlignment w:val="baseline"/>
              <w:rPr>
                <w:rFonts w:hint="eastAsia" w:ascii="仿宋_GB2312" w:hAnsi="inherit" w:eastAsia="仿宋_GB2312" w:cs="宋体"/>
                <w:color w:val="000000"/>
                <w:kern w:val="0"/>
                <w:sz w:val="28"/>
                <w:szCs w:val="32"/>
                <w:lang w:val="en-US" w:eastAsia="zh-CN"/>
              </w:rPr>
            </w:pPr>
            <w:r>
              <w:rPr>
                <w:rFonts w:hint="eastAsia" w:ascii="仿宋_GB2312" w:hAnsi="宋体" w:eastAsia="仿宋_GB2312" w:cs="宋体"/>
                <w:color w:val="000000"/>
                <w:kern w:val="0"/>
                <w:sz w:val="28"/>
                <w:szCs w:val="32"/>
              </w:rPr>
              <w:t>项目概况</w:t>
            </w:r>
            <w:r>
              <w:rPr>
                <w:rFonts w:hint="eastAsia" w:ascii="仿宋_GB2312" w:hAnsi="宋体" w:eastAsia="仿宋_GB2312" w:cs="宋体"/>
                <w:color w:val="000000"/>
                <w:kern w:val="0"/>
                <w:sz w:val="28"/>
                <w:szCs w:val="32"/>
                <w:lang w:val="en-US" w:eastAsia="zh-CN"/>
              </w:rPr>
              <w:t>介绍</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61C8907">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一、系统建设目标</w:t>
            </w:r>
          </w:p>
          <w:p w14:paraId="192DF86F">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（一）破解信息壁垒：打通资产全生命周期数据，以及财务、业务、合规等多维度信息，构建统一数据中台，消除部门间“数据烟囱”。</w:t>
            </w:r>
          </w:p>
          <w:p w14:paraId="1AC2AC71">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（二）优化决策支持：依托大数据分析打造领导驾驶舱，为管理层提供实时经营看板、趋势分析和预警调度，缩短决策链条。</w:t>
            </w:r>
          </w:p>
          <w:p w14:paraId="4509DDD9">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（三）加强业务协同：结合各部门/子公司具体业务特征与需求，利用系统推荐业务线索与商机信息，形成跟进情况信息流转与反馈闭环。</w:t>
            </w:r>
          </w:p>
          <w:p w14:paraId="5637EEE7">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（四）强化合规保障：通过对重点领域进行数字化留痕及权限分级管理，落实廉政风险防控要求，贯彻“穿透式监管”理念。</w:t>
            </w:r>
          </w:p>
          <w:p w14:paraId="0C4BA0F9">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二、系统建设内容</w:t>
            </w:r>
          </w:p>
          <w:p w14:paraId="44C78650">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（一）底层支撑：数据仓库、数据中台。</w:t>
            </w:r>
          </w:p>
          <w:p w14:paraId="79D1CCAF">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二）核心内容：经营调度系统（经营指标完成情况监测、预警调度指挥、驾驶舱与看板）、监管系统（业务开展合规管控、纪检系统、供应商/招投标采购/报销分析预警等）、资产管理平台（资产全生命周期管理）、业务协同模块（商机推荐协同、信息流转反馈）。</w:t>
            </w:r>
          </w:p>
          <w:p w14:paraId="3F967661">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（三）周边系统互联互通：各子公司业务系统对接打通、财务系统对接打通、国资系统对接打通。</w:t>
            </w:r>
          </w:p>
          <w:p w14:paraId="2999493F">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（四）其他内容：网络/存储/数据/安全改造与建设、移动端（小程序）、分级预警处置、硬件采购。</w:t>
            </w:r>
          </w:p>
          <w:p w14:paraId="040A2909">
            <w:pPr>
              <w:widowControl/>
              <w:textAlignment w:val="baseline"/>
              <w:rPr>
                <w:rFonts w:hint="default"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（五）该项目已完成项目初步设计报告，并形成初设功能清单、初设预估金融314.61万元。（功能清单详见附件：高科集团智慧管控平台项目功能清单表）</w:t>
            </w:r>
          </w:p>
        </w:tc>
      </w:tr>
      <w:tr w14:paraId="2051C11B">
        <w:tblPrEx>
          <w:tblCellMar>
            <w:top w:w="0" w:type="dxa"/>
            <w:left w:w="0" w:type="dxa"/>
            <w:bottom w:w="0" w:type="dxa"/>
            <w:right w:w="0" w:type="dxa"/>
          </w:tblCellMar>
        </w:tblPrEx>
        <w:trPr>
          <w:trHeight w:val="1260"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B501218">
            <w:pPr>
              <w:widowControl/>
              <w:spacing w:line="360" w:lineRule="atLeast"/>
              <w:textAlignment w:val="baseline"/>
              <w:rPr>
                <w:rFonts w:hint="eastAsia" w:ascii="仿宋_GB2312" w:hAnsi="宋体" w:eastAsia="仿宋_GB2312" w:cs="宋体"/>
                <w:color w:val="000000"/>
                <w:kern w:val="0"/>
                <w:sz w:val="28"/>
                <w:szCs w:val="32"/>
              </w:rPr>
            </w:pP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37656D8">
            <w:pPr>
              <w:widowControl/>
              <w:spacing w:line="360" w:lineRule="atLeast"/>
              <w:textAlignment w:val="baseline"/>
              <w:rPr>
                <w:rFonts w:hint="default" w:ascii="仿宋_GB2312" w:hAnsi="宋体" w:eastAsia="仿宋_GB2312" w:cs="宋体"/>
                <w:color w:val="000000"/>
                <w:kern w:val="0"/>
                <w:sz w:val="28"/>
                <w:szCs w:val="32"/>
                <w:lang w:val="en-US" w:eastAsia="zh-CN"/>
              </w:rPr>
            </w:pPr>
            <w:r>
              <w:rPr>
                <w:rFonts w:hint="eastAsia" w:ascii="仿宋_GB2312" w:hAnsi="宋体" w:eastAsia="仿宋_GB2312" w:cs="宋体"/>
                <w:color w:val="000000"/>
                <w:kern w:val="0"/>
                <w:sz w:val="28"/>
                <w:szCs w:val="32"/>
                <w:lang w:val="en-US" w:eastAsia="zh-CN"/>
              </w:rPr>
              <w:t>工作要求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76F83F9">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（一）完成时间：签订合同后十个工作日内完成所有工作内容。</w:t>
            </w:r>
          </w:p>
          <w:p w14:paraId="1DEA5369">
            <w:pPr>
              <w:widowControl/>
              <w:textAlignment w:val="baseline"/>
              <w:rPr>
                <w:rFonts w:hint="eastAsia" w:ascii="仿宋_GB2312" w:hAnsi="宋体" w:eastAsia="仿宋_GB2312" w:cs="宋体"/>
                <w:color w:val="333333"/>
                <w:kern w:val="0"/>
                <w:sz w:val="24"/>
                <w:szCs w:val="32"/>
                <w:lang w:val="en-US" w:eastAsia="zh-CN"/>
              </w:rPr>
            </w:pPr>
            <w:r>
              <w:rPr>
                <w:rFonts w:hint="eastAsia" w:ascii="仿宋_GB2312" w:hAnsi="宋体" w:eastAsia="仿宋_GB2312" w:cs="宋体"/>
                <w:color w:val="333333"/>
                <w:kern w:val="0"/>
                <w:sz w:val="24"/>
                <w:szCs w:val="32"/>
                <w:lang w:val="en-US" w:eastAsia="zh-CN"/>
              </w:rPr>
              <w:t>（二）形成《高科集团智慧管控平台项目造价报告》，并通过我方审核。</w:t>
            </w:r>
          </w:p>
        </w:tc>
      </w:tr>
      <w:tr w14:paraId="078F008E">
        <w:tblPrEx>
          <w:tblCellMar>
            <w:top w:w="0" w:type="dxa"/>
            <w:left w:w="0" w:type="dxa"/>
            <w:bottom w:w="0" w:type="dxa"/>
            <w:right w:w="0" w:type="dxa"/>
          </w:tblCellMar>
        </w:tblPrEx>
        <w:trPr>
          <w:trHeight w:val="1128"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D541B2C">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2</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FA057E">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资格要求</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3158025">
            <w:pPr>
              <w:widowControl/>
              <w:textAlignment w:val="baseline"/>
              <w:rPr>
                <w:rFonts w:hint="eastAsia" w:ascii="仿宋_GB2312" w:hAnsi="宋体" w:eastAsia="仿宋_GB2312" w:cs="宋体"/>
                <w:color w:val="333333"/>
                <w:kern w:val="0"/>
                <w:sz w:val="24"/>
                <w:szCs w:val="32"/>
              </w:rPr>
            </w:pPr>
            <w:r>
              <w:rPr>
                <w:rFonts w:hint="eastAsia" w:ascii="仿宋_GB2312" w:hAnsi="宋体" w:eastAsia="仿宋_GB2312" w:cs="宋体"/>
                <w:color w:val="333333"/>
                <w:kern w:val="0"/>
                <w:sz w:val="24"/>
                <w:szCs w:val="32"/>
              </w:rPr>
              <w:t>1、具有独立承担民事责任的能力。</w:t>
            </w:r>
          </w:p>
          <w:p w14:paraId="3B0F707C">
            <w:pPr>
              <w:widowControl/>
              <w:textAlignment w:val="baseline"/>
              <w:rPr>
                <w:rFonts w:hint="eastAsia" w:ascii="仿宋_GB2312" w:hAnsi="宋体" w:eastAsia="仿宋_GB2312" w:cs="宋体"/>
                <w:color w:val="333333"/>
                <w:kern w:val="0"/>
                <w:sz w:val="24"/>
                <w:szCs w:val="32"/>
              </w:rPr>
            </w:pPr>
            <w:r>
              <w:rPr>
                <w:rFonts w:hint="eastAsia" w:ascii="仿宋_GB2312" w:hAnsi="宋体" w:eastAsia="仿宋_GB2312" w:cs="宋体"/>
                <w:color w:val="333333"/>
                <w:kern w:val="0"/>
                <w:sz w:val="24"/>
                <w:szCs w:val="32"/>
              </w:rPr>
              <w:t>2、具有良好的商业信誉。</w:t>
            </w:r>
          </w:p>
          <w:p w14:paraId="4B4F2381">
            <w:pPr>
              <w:widowControl/>
              <w:textAlignment w:val="baseline"/>
              <w:rPr>
                <w:rFonts w:hint="default" w:eastAsia="仿宋_GB2312"/>
                <w:lang w:val="en-US" w:eastAsia="zh-CN"/>
              </w:rPr>
            </w:pPr>
            <w:r>
              <w:rPr>
                <w:rFonts w:hint="eastAsia" w:ascii="仿宋_GB2312" w:hAnsi="宋体" w:eastAsia="仿宋_GB2312" w:cs="宋体"/>
                <w:color w:val="333333"/>
                <w:kern w:val="0"/>
                <w:sz w:val="24"/>
                <w:szCs w:val="32"/>
              </w:rPr>
              <w:t>3、具有履行合同所必需的专业技术能力。</w:t>
            </w:r>
          </w:p>
        </w:tc>
      </w:tr>
      <w:tr w14:paraId="50B54621">
        <w:tblPrEx>
          <w:tblCellMar>
            <w:top w:w="0" w:type="dxa"/>
            <w:left w:w="0" w:type="dxa"/>
            <w:bottom w:w="0" w:type="dxa"/>
            <w:right w:w="0" w:type="dxa"/>
          </w:tblCellMar>
        </w:tblPrEx>
        <w:trPr>
          <w:trHeight w:val="934" w:hRule="atLeast"/>
          <w:jc w:val="center"/>
        </w:trPr>
        <w:tc>
          <w:tcPr>
            <w:tcW w:w="841" w:type="dxa"/>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77F627B">
            <w:pPr>
              <w:widowControl/>
              <w:spacing w:line="36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4</w:t>
            </w:r>
          </w:p>
        </w:tc>
        <w:tc>
          <w:tcPr>
            <w:tcW w:w="1559"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948C08B">
            <w:pPr>
              <w:widowControl/>
              <w:spacing w:line="420" w:lineRule="atLeast"/>
              <w:textAlignment w:val="baseline"/>
              <w:rPr>
                <w:rFonts w:hint="eastAsia" w:ascii="仿宋_GB2312" w:hAnsi="inherit" w:eastAsia="仿宋_GB2312" w:cs="宋体"/>
                <w:color w:val="000000"/>
                <w:kern w:val="0"/>
                <w:sz w:val="28"/>
                <w:szCs w:val="32"/>
              </w:rPr>
            </w:pPr>
            <w:r>
              <w:rPr>
                <w:rFonts w:hint="eastAsia" w:ascii="仿宋_GB2312" w:hAnsi="宋体" w:eastAsia="仿宋_GB2312" w:cs="宋体"/>
                <w:color w:val="000000"/>
                <w:kern w:val="0"/>
                <w:sz w:val="28"/>
                <w:szCs w:val="32"/>
              </w:rPr>
              <w:t>备注</w:t>
            </w:r>
          </w:p>
        </w:tc>
        <w:tc>
          <w:tcPr>
            <w:tcW w:w="621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4D52D3">
            <w:pPr>
              <w:widowControl/>
              <w:textAlignment w:val="baseline"/>
              <w:rPr>
                <w:rFonts w:hint="eastAsia" w:ascii="仿宋_GB2312" w:hAnsi="inherit" w:eastAsia="仿宋_GB2312" w:cs="宋体"/>
                <w:color w:val="000000"/>
                <w:kern w:val="0"/>
                <w:sz w:val="32"/>
                <w:szCs w:val="32"/>
              </w:rPr>
            </w:pPr>
            <w:r>
              <w:rPr>
                <w:rFonts w:hint="eastAsia" w:ascii="仿宋_GB2312" w:hAnsi="宋体" w:eastAsia="仿宋_GB2312" w:cs="宋体"/>
                <w:color w:val="333333"/>
                <w:kern w:val="0"/>
                <w:sz w:val="24"/>
                <w:szCs w:val="32"/>
              </w:rPr>
              <w:t>报价单位应充分考虑整个</w:t>
            </w:r>
            <w:r>
              <w:rPr>
                <w:rFonts w:hint="eastAsia" w:ascii="仿宋_GB2312" w:hAnsi="宋体" w:eastAsia="仿宋_GB2312" w:cs="宋体"/>
                <w:color w:val="333333"/>
                <w:kern w:val="0"/>
                <w:sz w:val="24"/>
                <w:szCs w:val="32"/>
                <w:lang w:val="en-US" w:eastAsia="zh-CN"/>
              </w:rPr>
              <w:t>预</w:t>
            </w:r>
            <w:r>
              <w:rPr>
                <w:rFonts w:hint="eastAsia" w:ascii="仿宋_GB2312" w:hAnsi="宋体" w:eastAsia="仿宋_GB2312" w:cs="宋体"/>
                <w:color w:val="333333"/>
                <w:kern w:val="0"/>
                <w:sz w:val="24"/>
                <w:szCs w:val="32"/>
              </w:rPr>
              <w:t>询价过程综合多种风险因素来确定报价，一次性报价包含完成本项目的</w:t>
            </w:r>
            <w:r>
              <w:rPr>
                <w:rFonts w:hint="eastAsia" w:ascii="仿宋_GB2312" w:hAnsi="宋体" w:eastAsia="仿宋_GB2312" w:cs="宋体"/>
                <w:color w:val="333333"/>
                <w:kern w:val="0"/>
                <w:sz w:val="24"/>
                <w:szCs w:val="32"/>
                <w:lang w:val="en-US" w:eastAsia="zh-CN"/>
              </w:rPr>
              <w:t>所有</w:t>
            </w:r>
            <w:r>
              <w:rPr>
                <w:rFonts w:hint="eastAsia" w:ascii="仿宋_GB2312" w:hAnsi="宋体" w:eastAsia="仿宋_GB2312" w:cs="宋体"/>
                <w:color w:val="333333"/>
                <w:kern w:val="0"/>
                <w:sz w:val="24"/>
                <w:szCs w:val="32"/>
              </w:rPr>
              <w:t>服务</w:t>
            </w:r>
            <w:r>
              <w:rPr>
                <w:rFonts w:ascii="仿宋_GB2312" w:hAnsi="宋体" w:eastAsia="仿宋_GB2312" w:cs="宋体"/>
                <w:color w:val="333333"/>
                <w:kern w:val="0"/>
                <w:sz w:val="24"/>
                <w:szCs w:val="32"/>
              </w:rPr>
              <w:t>、工具使用</w:t>
            </w:r>
            <w:r>
              <w:rPr>
                <w:rFonts w:hint="eastAsia" w:ascii="仿宋_GB2312" w:hAnsi="宋体" w:eastAsia="仿宋_GB2312" w:cs="宋体"/>
                <w:color w:val="333333"/>
                <w:kern w:val="0"/>
                <w:sz w:val="24"/>
                <w:szCs w:val="32"/>
              </w:rPr>
              <w:t>等一切费用。</w:t>
            </w:r>
          </w:p>
        </w:tc>
      </w:tr>
    </w:tbl>
    <w:p w14:paraId="143C51B2">
      <w:pPr>
        <w:widowControl/>
        <w:spacing w:line="520" w:lineRule="exact"/>
        <w:ind w:firstLine="643" w:firstLineChars="200"/>
        <w:textAlignment w:val="baseline"/>
        <w:rPr>
          <w:rFonts w:hint="eastAsia" w:ascii="仿宋_GB2312" w:hAnsi="宋体" w:eastAsia="仿宋_GB2312" w:cs="宋体"/>
          <w:b/>
          <w:bCs/>
          <w:kern w:val="0"/>
          <w:sz w:val="32"/>
          <w:szCs w:val="32"/>
        </w:rPr>
      </w:pPr>
      <w:r>
        <w:rPr>
          <w:rFonts w:hint="eastAsia" w:ascii="仿宋_GB2312" w:hAnsi="宋体" w:eastAsia="仿宋_GB2312" w:cs="宋体"/>
          <w:b/>
          <w:bCs/>
          <w:color w:val="000000"/>
          <w:kern w:val="0"/>
          <w:sz w:val="32"/>
          <w:szCs w:val="32"/>
        </w:rPr>
        <w:t>注：</w:t>
      </w:r>
      <w:r>
        <w:rPr>
          <w:rFonts w:hint="eastAsia" w:ascii="仿宋_GB2312" w:hAnsi="宋体" w:eastAsia="仿宋_GB2312" w:cs="宋体"/>
          <w:color w:val="000000"/>
          <w:kern w:val="0"/>
          <w:sz w:val="32"/>
          <w:szCs w:val="32"/>
        </w:rPr>
        <w:t>报价文件请</w:t>
      </w:r>
      <w:r>
        <w:rPr>
          <w:rFonts w:hint="eastAsia" w:ascii="仿宋_GB2312" w:hAnsi="inherit" w:eastAsia="仿宋_GB2312" w:cs="宋体"/>
          <w:kern w:val="0"/>
          <w:sz w:val="32"/>
          <w:szCs w:val="32"/>
          <w:u w:val="single"/>
        </w:rPr>
        <w:t>加盖公章后送盈创</w:t>
      </w:r>
      <w:r>
        <w:rPr>
          <w:rFonts w:hint="eastAsia" w:ascii="仿宋_GB2312" w:hAnsi="inherit" w:eastAsia="仿宋_GB2312" w:cs="宋体"/>
          <w:kern w:val="0"/>
          <w:sz w:val="32"/>
          <w:szCs w:val="32"/>
          <w:u w:val="single"/>
          <w:lang w:val="en-US" w:eastAsia="zh-CN"/>
        </w:rPr>
        <w:t>动力</w:t>
      </w:r>
      <w:r>
        <w:rPr>
          <w:rFonts w:ascii="仿宋_GB2312" w:hAnsi="inherit" w:eastAsia="仿宋_GB2312" w:cs="宋体"/>
          <w:kern w:val="0"/>
          <w:sz w:val="32"/>
          <w:szCs w:val="32"/>
          <w:u w:val="single"/>
        </w:rPr>
        <w:t>公司</w:t>
      </w:r>
      <w:r>
        <w:rPr>
          <w:rFonts w:hint="eastAsia" w:ascii="仿宋_GB2312" w:hAnsi="inherit" w:eastAsia="仿宋_GB2312" w:cs="宋体"/>
          <w:kern w:val="0"/>
          <w:sz w:val="32"/>
          <w:szCs w:val="32"/>
          <w:u w:val="single"/>
          <w:lang w:val="en-US" w:eastAsia="zh-CN"/>
        </w:rPr>
        <w:t>信息技术部</w:t>
      </w:r>
      <w:r>
        <w:rPr>
          <w:rFonts w:hint="eastAsia" w:ascii="仿宋_GB2312" w:hAnsi="宋体" w:eastAsia="仿宋_GB2312" w:cs="宋体"/>
          <w:b/>
          <w:bCs/>
          <w:kern w:val="0"/>
          <w:sz w:val="32"/>
          <w:szCs w:val="32"/>
        </w:rPr>
        <w:t>。</w:t>
      </w:r>
    </w:p>
    <w:p w14:paraId="2812B9D0">
      <w:pPr>
        <w:widowControl/>
        <w:spacing w:line="520" w:lineRule="exact"/>
        <w:ind w:firstLine="643" w:firstLineChars="200"/>
        <w:textAlignment w:val="baseline"/>
        <w:rPr>
          <w:rFonts w:hint="eastAsia" w:ascii="仿宋_GB2312" w:hAnsi="宋体" w:eastAsia="仿宋_GB2312" w:cs="宋体"/>
          <w:b/>
          <w:bCs/>
          <w:kern w:val="0"/>
          <w:sz w:val="32"/>
          <w:szCs w:val="32"/>
        </w:rPr>
      </w:pPr>
    </w:p>
    <w:p w14:paraId="66CEAF63">
      <w:pPr>
        <w:widowControl/>
        <w:spacing w:line="520" w:lineRule="exact"/>
        <w:textAlignment w:val="baseline"/>
        <w:rPr>
          <w:rFonts w:hint="eastAsia" w:ascii="仿宋_GB2312" w:hAnsi="宋体" w:eastAsia="仿宋_GB2312" w:cs="宋体"/>
          <w:color w:val="000000"/>
          <w:kern w:val="0"/>
          <w:sz w:val="32"/>
          <w:szCs w:val="32"/>
        </w:rPr>
      </w:pPr>
      <w:r>
        <w:rPr>
          <w:rFonts w:hint="eastAsia" w:ascii="仿宋_GB2312" w:hAnsi="黑体" w:eastAsia="仿宋_GB2312" w:cs="宋体"/>
          <w:color w:val="000000"/>
          <w:kern w:val="0"/>
          <w:sz w:val="32"/>
          <w:szCs w:val="32"/>
        </w:rPr>
        <w:t>三、</w:t>
      </w:r>
      <w:r>
        <w:rPr>
          <w:rFonts w:hint="eastAsia" w:ascii="仿宋_GB2312" w:hAnsi="黑体" w:eastAsia="仿宋_GB2312" w:cs="宋体"/>
          <w:color w:val="000000"/>
          <w:kern w:val="0"/>
          <w:sz w:val="32"/>
          <w:szCs w:val="32"/>
          <w:lang w:val="en-US" w:eastAsia="zh-CN"/>
        </w:rPr>
        <w:t>预询价</w:t>
      </w:r>
      <w:r>
        <w:rPr>
          <w:rFonts w:hint="eastAsia" w:ascii="仿宋_GB2312" w:hAnsi="黑体" w:eastAsia="仿宋_GB2312" w:cs="宋体"/>
          <w:color w:val="000000"/>
          <w:kern w:val="0"/>
          <w:sz w:val="32"/>
          <w:szCs w:val="32"/>
        </w:rPr>
        <w:t>报价函</w:t>
      </w:r>
    </w:p>
    <w:p w14:paraId="536CCE23">
      <w:pPr>
        <w:widowControl/>
        <w:spacing w:line="520" w:lineRule="exac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请按照给出的</w:t>
      </w:r>
      <w:r>
        <w:rPr>
          <w:rFonts w:hint="eastAsia" w:ascii="仿宋_GB2312" w:hAnsi="inherit" w:eastAsia="仿宋_GB2312" w:cs="宋体"/>
          <w:kern w:val="0"/>
          <w:sz w:val="32"/>
          <w:szCs w:val="32"/>
          <w:u w:val="single"/>
        </w:rPr>
        <w:t>“</w:t>
      </w:r>
      <w:r>
        <w:rPr>
          <w:rFonts w:hint="eastAsia" w:ascii="仿宋_GB2312" w:hAnsi="inherit" w:eastAsia="仿宋_GB2312" w:cs="宋体"/>
          <w:kern w:val="0"/>
          <w:sz w:val="32"/>
          <w:szCs w:val="32"/>
          <w:u w:val="single"/>
          <w:lang w:val="en-US" w:eastAsia="zh-CN"/>
        </w:rPr>
        <w:t>预询价</w:t>
      </w:r>
      <w:r>
        <w:rPr>
          <w:rFonts w:hint="eastAsia" w:ascii="仿宋_GB2312" w:hAnsi="inherit" w:eastAsia="仿宋_GB2312" w:cs="宋体"/>
          <w:kern w:val="0"/>
          <w:sz w:val="32"/>
          <w:szCs w:val="32"/>
          <w:u w:val="single"/>
        </w:rPr>
        <w:t>报价</w:t>
      </w:r>
      <w:r>
        <w:rPr>
          <w:rFonts w:hint="eastAsia" w:ascii="仿宋_GB2312" w:hAnsi="inherit" w:eastAsia="仿宋_GB2312" w:cs="宋体"/>
          <w:kern w:val="0"/>
          <w:sz w:val="32"/>
          <w:szCs w:val="32"/>
          <w:u w:val="single"/>
          <w:lang w:val="en-US" w:eastAsia="zh-CN"/>
        </w:rPr>
        <w:t>单</w:t>
      </w:r>
      <w:r>
        <w:rPr>
          <w:rFonts w:hint="eastAsia" w:ascii="仿宋_GB2312" w:hAnsi="inherit" w:eastAsia="仿宋_GB2312" w:cs="宋体"/>
          <w:kern w:val="0"/>
          <w:sz w:val="32"/>
          <w:szCs w:val="32"/>
          <w:u w:val="single"/>
        </w:rPr>
        <w:t>”模式</w:t>
      </w:r>
      <w:r>
        <w:rPr>
          <w:rFonts w:hint="eastAsia" w:ascii="仿宋_GB2312" w:hAnsi="宋体" w:eastAsia="仿宋_GB2312" w:cs="宋体"/>
          <w:color w:val="000000"/>
          <w:kern w:val="0"/>
          <w:sz w:val="32"/>
          <w:szCs w:val="32"/>
        </w:rPr>
        <w:t>进行报价，未按模式要求的</w:t>
      </w:r>
      <w:r>
        <w:rPr>
          <w:rFonts w:hint="eastAsia" w:ascii="仿宋_GB2312" w:hAnsi="inherit" w:eastAsia="仿宋_GB2312" w:cs="宋体"/>
          <w:kern w:val="0"/>
          <w:sz w:val="32"/>
          <w:szCs w:val="32"/>
          <w:u w:val="single"/>
        </w:rPr>
        <w:t>作废处理</w:t>
      </w:r>
      <w:r>
        <w:rPr>
          <w:rFonts w:hint="eastAsia" w:ascii="仿宋_GB2312" w:hAnsi="inherit" w:eastAsia="仿宋_GB2312" w:cs="宋体"/>
          <w:b/>
          <w:bCs/>
          <w:color w:val="000000"/>
          <w:kern w:val="0"/>
          <w:sz w:val="32"/>
          <w:szCs w:val="32"/>
          <w:u w:val="single"/>
        </w:rPr>
        <w:t>。</w:t>
      </w:r>
    </w:p>
    <w:p w14:paraId="63F08500">
      <w:pPr>
        <w:widowControl/>
        <w:spacing w:line="520" w:lineRule="exact"/>
        <w:textAlignment w:val="baseline"/>
        <w:rPr>
          <w:rFonts w:hint="eastAsia" w:ascii="仿宋_GB2312" w:hAnsi="宋体" w:eastAsia="仿宋_GB2312" w:cs="宋体"/>
          <w:color w:val="000000"/>
          <w:kern w:val="0"/>
          <w:sz w:val="32"/>
          <w:szCs w:val="32"/>
        </w:rPr>
      </w:pPr>
      <w:r>
        <w:rPr>
          <w:rFonts w:hint="eastAsia" w:ascii="仿宋_GB2312" w:hAnsi="黑体" w:eastAsia="仿宋_GB2312" w:cs="宋体"/>
          <w:color w:val="000000"/>
          <w:kern w:val="0"/>
          <w:sz w:val="32"/>
          <w:szCs w:val="32"/>
        </w:rPr>
        <w:t>四、联系地址</w:t>
      </w:r>
    </w:p>
    <w:p w14:paraId="7D2BE554">
      <w:pPr>
        <w:widowControl/>
        <w:spacing w:line="520" w:lineRule="exact"/>
        <w:ind w:firstLine="480"/>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成都高新区</w:t>
      </w:r>
      <w:r>
        <w:rPr>
          <w:rFonts w:hint="eastAsia" w:ascii="仿宋_GB2312" w:hAnsi="宋体" w:eastAsia="仿宋_GB2312" w:cs="宋体"/>
          <w:color w:val="000000"/>
          <w:kern w:val="0"/>
          <w:sz w:val="32"/>
          <w:szCs w:val="32"/>
          <w:lang w:val="en-US" w:eastAsia="zh-CN"/>
        </w:rPr>
        <w:t>和乐三街与锦和路口盈创动力大厦4楼</w:t>
      </w:r>
      <w:r>
        <w:rPr>
          <w:rFonts w:hint="eastAsia" w:ascii="仿宋_GB2312" w:eastAsia="仿宋_GB2312"/>
          <w:sz w:val="32"/>
          <w:szCs w:val="32"/>
        </w:rPr>
        <w:t>。</w:t>
      </w:r>
    </w:p>
    <w:p w14:paraId="1001703F">
      <w:pPr>
        <w:widowControl/>
        <w:spacing w:line="520" w:lineRule="exact"/>
        <w:textAlignment w:val="baseline"/>
        <w:rPr>
          <w:rFonts w:hint="eastAsia" w:ascii="仿宋_GB2312" w:hAnsi="宋体" w:eastAsia="仿宋_GB2312" w:cs="宋体"/>
          <w:color w:val="000000"/>
          <w:kern w:val="0"/>
          <w:sz w:val="32"/>
          <w:szCs w:val="32"/>
        </w:rPr>
      </w:pPr>
      <w:r>
        <w:rPr>
          <w:rFonts w:hint="eastAsia" w:ascii="仿宋_GB2312" w:hAnsi="黑体" w:eastAsia="仿宋_GB2312" w:cs="宋体"/>
          <w:color w:val="000000"/>
          <w:kern w:val="0"/>
          <w:sz w:val="32"/>
          <w:szCs w:val="32"/>
        </w:rPr>
        <w:t>五、联系人及电话</w:t>
      </w:r>
    </w:p>
    <w:p w14:paraId="18F4C35C">
      <w:pPr>
        <w:widowControl/>
        <w:spacing w:line="520" w:lineRule="exact"/>
        <w:ind w:firstLine="480"/>
        <w:textAlignment w:val="baseline"/>
        <w:rPr>
          <w:rFonts w:hint="eastAsia" w:ascii="仿宋_GB2312" w:hAnsi="宋体" w:eastAsia="仿宋_GB2312" w:cs="宋体"/>
          <w:color w:val="000000"/>
          <w:kern w:val="0"/>
          <w:sz w:val="32"/>
          <w:szCs w:val="32"/>
          <w:lang w:val="en-US" w:eastAsia="zh-CN"/>
        </w:rPr>
      </w:pPr>
      <w:r>
        <w:rPr>
          <w:rFonts w:hint="eastAsia" w:ascii="仿宋_GB2312" w:hAnsi="宋体" w:eastAsia="仿宋_GB2312" w:cs="宋体"/>
          <w:color w:val="000000"/>
          <w:kern w:val="0"/>
          <w:sz w:val="32"/>
          <w:szCs w:val="32"/>
          <w:lang w:val="en-US" w:eastAsia="zh-CN"/>
        </w:rPr>
        <w:t>信息技术部</w:t>
      </w:r>
      <w:r>
        <w:rPr>
          <w:rFonts w:hint="eastAsia" w:ascii="仿宋_GB2312" w:hAnsi="宋体" w:eastAsia="仿宋_GB2312" w:cs="宋体"/>
          <w:color w:val="000000"/>
          <w:kern w:val="0"/>
          <w:sz w:val="32"/>
          <w:szCs w:val="32"/>
        </w:rPr>
        <w:t>：</w:t>
      </w:r>
      <w:r>
        <w:rPr>
          <w:rFonts w:hint="eastAsia" w:ascii="仿宋_GB2312" w:hAnsi="宋体" w:eastAsia="仿宋_GB2312" w:cs="宋体"/>
          <w:color w:val="000000"/>
          <w:kern w:val="0"/>
          <w:sz w:val="32"/>
          <w:szCs w:val="32"/>
          <w:lang w:val="en-US" w:eastAsia="zh-CN"/>
        </w:rPr>
        <w:t>王聪</w:t>
      </w:r>
      <w:r>
        <w:rPr>
          <w:rFonts w:hint="eastAsia" w:ascii="仿宋_GB2312" w:hAnsi="宋体" w:eastAsia="仿宋_GB2312" w:cs="宋体"/>
          <w:color w:val="000000"/>
          <w:kern w:val="0"/>
          <w:sz w:val="32"/>
          <w:szCs w:val="32"/>
        </w:rPr>
        <w:t xml:space="preserve">  电话：</w:t>
      </w:r>
      <w:r>
        <w:rPr>
          <w:rFonts w:hint="eastAsia" w:ascii="仿宋_GB2312" w:hAnsi="宋体" w:eastAsia="仿宋_GB2312" w:cs="宋体"/>
          <w:color w:val="000000"/>
          <w:kern w:val="0"/>
          <w:sz w:val="32"/>
          <w:szCs w:val="32"/>
          <w:lang w:val="en-US" w:eastAsia="zh-CN"/>
        </w:rPr>
        <w:t>18180409252</w:t>
      </w:r>
    </w:p>
    <w:p w14:paraId="67FE22BF">
      <w:pPr>
        <w:widowControl/>
        <w:spacing w:line="520" w:lineRule="exact"/>
        <w:ind w:firstLine="480"/>
        <w:textAlignment w:val="baseline"/>
        <w:rPr>
          <w:rFonts w:hint="eastAsia" w:ascii="仿宋_GB2312" w:hAnsi="宋体" w:eastAsia="仿宋_GB2312" w:cs="宋体"/>
          <w:color w:val="000000"/>
          <w:kern w:val="0"/>
          <w:sz w:val="32"/>
          <w:szCs w:val="32"/>
          <w:lang w:val="en-US" w:eastAsia="zh-CN"/>
        </w:rPr>
      </w:pPr>
    </w:p>
    <w:p w14:paraId="62D628E3">
      <w:pPr>
        <w:widowControl/>
        <w:spacing w:line="520" w:lineRule="exact"/>
        <w:ind w:firstLine="480"/>
        <w:textAlignment w:val="baseline"/>
        <w:rPr>
          <w:rFonts w:hint="eastAsia" w:ascii="仿宋_GB2312" w:hAnsi="宋体" w:eastAsia="仿宋_GB2312" w:cs="宋体"/>
          <w:color w:val="000000"/>
          <w:kern w:val="0"/>
          <w:sz w:val="32"/>
          <w:szCs w:val="32"/>
          <w:lang w:val="en-US" w:eastAsia="zh-CN"/>
        </w:rPr>
      </w:pPr>
    </w:p>
    <w:p w14:paraId="24D1007C">
      <w:pPr>
        <w:widowControl/>
        <w:spacing w:line="520" w:lineRule="exact"/>
        <w:ind w:firstLine="480"/>
        <w:textAlignment w:val="baseline"/>
        <w:rPr>
          <w:rFonts w:hint="eastAsia" w:ascii="仿宋_GB2312" w:hAnsi="宋体" w:eastAsia="仿宋_GB2312" w:cs="宋体"/>
          <w:color w:val="000000"/>
          <w:kern w:val="0"/>
          <w:sz w:val="32"/>
          <w:szCs w:val="32"/>
          <w:lang w:val="en-US" w:eastAsia="zh-CN"/>
        </w:rPr>
      </w:pPr>
    </w:p>
    <w:p w14:paraId="1167972D">
      <w:pPr>
        <w:widowControl/>
        <w:spacing w:line="520" w:lineRule="exact"/>
        <w:ind w:firstLine="480"/>
        <w:textAlignment w:val="baseline"/>
        <w:rPr>
          <w:rFonts w:hint="default" w:ascii="仿宋_GB2312" w:hAnsi="宋体" w:eastAsia="仿宋_GB2312" w:cs="宋体"/>
          <w:color w:val="000000"/>
          <w:kern w:val="0"/>
          <w:sz w:val="32"/>
          <w:szCs w:val="32"/>
          <w:lang w:val="en-US" w:eastAsia="zh-CN"/>
        </w:rPr>
      </w:pPr>
    </w:p>
    <w:p w14:paraId="028D1C99">
      <w:pPr>
        <w:widowControl/>
        <w:spacing w:line="520" w:lineRule="exact"/>
        <w:ind w:right="164"/>
        <w:jc w:val="right"/>
        <w:textAlignment w:val="baseline"/>
        <w:rPr>
          <w:rFonts w:hint="eastAsia" w:ascii="仿宋_GB2312" w:hAnsi="宋体" w:eastAsia="仿宋_GB2312" w:cs="宋体"/>
          <w:color w:val="000000"/>
          <w:kern w:val="0"/>
          <w:sz w:val="32"/>
          <w:szCs w:val="32"/>
        </w:rPr>
      </w:pPr>
      <w:r>
        <w:rPr>
          <w:rFonts w:hint="eastAsia" w:ascii="仿宋_GB2312" w:hAnsi="宋体" w:eastAsia="仿宋_GB2312" w:cs="宋体"/>
          <w:color w:val="000000"/>
          <w:kern w:val="0"/>
          <w:sz w:val="32"/>
          <w:szCs w:val="32"/>
        </w:rPr>
        <w:t>成都高投</w:t>
      </w:r>
      <w:r>
        <w:rPr>
          <w:rFonts w:ascii="仿宋_GB2312" w:hAnsi="宋体" w:eastAsia="仿宋_GB2312" w:cs="宋体"/>
          <w:color w:val="000000"/>
          <w:kern w:val="0"/>
          <w:sz w:val="32"/>
          <w:szCs w:val="32"/>
        </w:rPr>
        <w:t>盈创动力投资发展有限</w:t>
      </w:r>
      <w:r>
        <w:rPr>
          <w:rFonts w:hint="eastAsia" w:ascii="仿宋_GB2312" w:hAnsi="宋体" w:eastAsia="仿宋_GB2312" w:cs="宋体"/>
          <w:color w:val="000000"/>
          <w:kern w:val="0"/>
          <w:sz w:val="32"/>
          <w:szCs w:val="32"/>
        </w:rPr>
        <w:t>公司</w:t>
      </w:r>
    </w:p>
    <w:p w14:paraId="64C83FAD">
      <w:pPr>
        <w:widowControl/>
        <w:wordWrap w:val="0"/>
        <w:spacing w:line="520" w:lineRule="exact"/>
        <w:ind w:right="164"/>
        <w:jc w:val="right"/>
        <w:textAlignment w:val="baseline"/>
        <w:rPr>
          <w:rFonts w:hint="eastAsia" w:ascii="仿宋_GB2312" w:hAnsi="宋体" w:eastAsia="仿宋_GB2312" w:cs="宋体"/>
          <w:b/>
          <w:color w:val="000000"/>
          <w:kern w:val="0"/>
          <w:sz w:val="32"/>
          <w:szCs w:val="32"/>
        </w:rPr>
      </w:pPr>
      <w:r>
        <w:rPr>
          <w:rFonts w:hint="eastAsia" w:ascii="仿宋_GB2312" w:hAnsi="宋体" w:eastAsia="仿宋_GB2312" w:cs="宋体"/>
          <w:color w:val="000000"/>
          <w:kern w:val="0"/>
          <w:sz w:val="32"/>
          <w:szCs w:val="32"/>
        </w:rPr>
        <w:t>20</w:t>
      </w:r>
      <w:r>
        <w:rPr>
          <w:rFonts w:ascii="仿宋_GB2312" w:hAnsi="宋体" w:eastAsia="仿宋_GB2312" w:cs="宋体"/>
          <w:color w:val="000000"/>
          <w:kern w:val="0"/>
          <w:sz w:val="32"/>
          <w:szCs w:val="32"/>
        </w:rPr>
        <w:t>2</w:t>
      </w:r>
      <w:r>
        <w:rPr>
          <w:rFonts w:hint="eastAsia" w:ascii="仿宋_GB2312" w:hAnsi="宋体" w:eastAsia="仿宋_GB2312" w:cs="宋体"/>
          <w:color w:val="000000"/>
          <w:kern w:val="0"/>
          <w:sz w:val="32"/>
          <w:szCs w:val="32"/>
          <w:lang w:val="en-US" w:eastAsia="zh-CN"/>
        </w:rPr>
        <w:t>5</w:t>
      </w:r>
      <w:r>
        <w:rPr>
          <w:rFonts w:hint="eastAsia" w:ascii="仿宋_GB2312" w:hAnsi="宋体" w:eastAsia="仿宋_GB2312" w:cs="宋体"/>
          <w:color w:val="000000"/>
          <w:kern w:val="0"/>
          <w:sz w:val="32"/>
          <w:szCs w:val="32"/>
        </w:rPr>
        <w:t>年</w:t>
      </w:r>
      <w:r>
        <w:rPr>
          <w:rFonts w:hint="eastAsia" w:ascii="仿宋_GB2312" w:hAnsi="inherit" w:eastAsia="仿宋_GB2312" w:cs="宋体"/>
          <w:color w:val="000000"/>
          <w:kern w:val="0"/>
          <w:sz w:val="32"/>
          <w:szCs w:val="32"/>
          <w:lang w:val="en-US" w:eastAsia="zh-CN"/>
        </w:rPr>
        <w:t>9</w:t>
      </w:r>
      <w:r>
        <w:rPr>
          <w:rFonts w:hint="eastAsia" w:ascii="仿宋_GB2312" w:hAnsi="宋体" w:eastAsia="仿宋_GB2312" w:cs="宋体"/>
          <w:color w:val="000000"/>
          <w:kern w:val="0"/>
          <w:sz w:val="32"/>
          <w:szCs w:val="32"/>
        </w:rPr>
        <w:t>月</w:t>
      </w:r>
      <w:r>
        <w:rPr>
          <w:rFonts w:hint="eastAsia" w:ascii="仿宋_GB2312" w:hAnsi="宋体" w:eastAsia="仿宋_GB2312" w:cs="宋体"/>
          <w:color w:val="000000"/>
          <w:kern w:val="0"/>
          <w:sz w:val="32"/>
          <w:szCs w:val="32"/>
          <w:lang w:val="en-US" w:eastAsia="zh-CN"/>
        </w:rPr>
        <w:t>25</w:t>
      </w:r>
      <w:r>
        <w:rPr>
          <w:rFonts w:hint="eastAsia" w:ascii="仿宋_GB2312" w:hAnsi="inherit" w:eastAsia="仿宋_GB2312" w:cs="宋体"/>
          <w:color w:val="000000"/>
          <w:kern w:val="0"/>
          <w:sz w:val="32"/>
          <w:szCs w:val="32"/>
        </w:rPr>
        <w:t xml:space="preserve">日    </w:t>
      </w:r>
    </w:p>
    <w:p w14:paraId="10A4BF82">
      <w:pPr>
        <w:spacing w:line="560" w:lineRule="exact"/>
        <w:jc w:val="center"/>
        <w:rPr>
          <w:rFonts w:ascii="方正小标宋简体" w:eastAsia="方正小标宋简体"/>
          <w:spacing w:val="-20"/>
          <w:sz w:val="36"/>
          <w:szCs w:val="44"/>
        </w:rPr>
      </w:pPr>
    </w:p>
    <w:p w14:paraId="12CEB9E8">
      <w:pPr>
        <w:jc w:val="center"/>
        <w:rPr>
          <w:rFonts w:hint="default" w:ascii="Times New Roman Regular" w:hAnsi="Times New Roman Regular" w:eastAsia="方正小标宋_GBK" w:cs="Times New Roman Regular"/>
          <w:sz w:val="40"/>
          <w:szCs w:val="40"/>
          <w:lang w:val="en-US" w:eastAsia="zh-CN"/>
        </w:rPr>
      </w:pPr>
    </w:p>
    <w:p w14:paraId="4B375352">
      <w:pPr>
        <w:jc w:val="center"/>
        <w:rPr>
          <w:rFonts w:hint="default" w:ascii="Times New Roman Regular" w:hAnsi="Times New Roman Regular" w:eastAsia="方正小标宋_GBK" w:cs="Times New Roman Regular"/>
          <w:sz w:val="40"/>
          <w:szCs w:val="40"/>
          <w:lang w:val="en-US" w:eastAsia="zh-CN"/>
        </w:rPr>
      </w:pPr>
    </w:p>
    <w:p w14:paraId="651C381C">
      <w:pPr>
        <w:jc w:val="center"/>
        <w:rPr>
          <w:rFonts w:hint="default" w:ascii="Times New Roman Regular" w:hAnsi="Times New Roman Regular" w:eastAsia="方正小标宋_GBK" w:cs="Times New Roman Regular"/>
          <w:sz w:val="40"/>
          <w:szCs w:val="40"/>
          <w:lang w:val="en-US" w:eastAsia="zh-CN"/>
        </w:rPr>
      </w:pPr>
    </w:p>
    <w:p w14:paraId="406A8E34">
      <w:pPr>
        <w:jc w:val="both"/>
        <w:rPr>
          <w:rFonts w:hint="default" w:ascii="Times New Roman Regular" w:hAnsi="Times New Roman Regular" w:eastAsia="方正小标宋_GBK" w:cs="Times New Roman Regular"/>
          <w:sz w:val="40"/>
          <w:szCs w:val="40"/>
          <w:lang w:val="en-US" w:eastAsia="zh-CN"/>
        </w:rPr>
      </w:pPr>
    </w:p>
    <w:p w14:paraId="474C9E40">
      <w:pPr>
        <w:jc w:val="center"/>
        <w:rPr>
          <w:rFonts w:hint="eastAsia" w:ascii="仿宋_GB2312" w:hAnsi="inherit" w:eastAsia="仿宋_GB2312" w:cs="宋体"/>
          <w:kern w:val="0"/>
          <w:sz w:val="32"/>
          <w:szCs w:val="32"/>
          <w:u w:val="single"/>
          <w:lang w:val="en-US" w:eastAsia="zh-CN"/>
        </w:rPr>
      </w:pPr>
    </w:p>
    <w:p w14:paraId="2ADD4880">
      <w:pPr>
        <w:pStyle w:val="3"/>
        <w:numPr>
          <w:ilvl w:val="0"/>
          <w:numId w:val="0"/>
        </w:numPr>
        <w:ind w:leftChars="0"/>
        <w:rPr>
          <w:rFonts w:hint="eastAsia" w:ascii="黑体" w:hAnsi="黑体" w:eastAsia="黑体"/>
          <w:lang w:val="en-US" w:eastAsia="zh-CN"/>
        </w:rPr>
      </w:pPr>
      <w:r>
        <w:rPr>
          <w:rFonts w:hint="eastAsia" w:ascii="黑体" w:hAnsi="黑体" w:eastAsia="黑体"/>
          <w:lang w:val="en-US" w:eastAsia="zh-CN"/>
        </w:rPr>
        <w:t>附件1</w:t>
      </w:r>
    </w:p>
    <w:p w14:paraId="6C75A9F1">
      <w:pPr>
        <w:rPr>
          <w:rFonts w:hint="eastAsia" w:ascii="仿宋_GB2312" w:hAnsi="inherit" w:eastAsia="仿宋_GB2312" w:cs="宋体"/>
          <w:kern w:val="0"/>
          <w:sz w:val="32"/>
          <w:szCs w:val="32"/>
          <w:u w:val="single"/>
          <w:lang w:val="en-US" w:eastAsia="zh-CN"/>
        </w:rPr>
      </w:pPr>
    </w:p>
    <w:p w14:paraId="2C44ECD2">
      <w:pPr>
        <w:jc w:val="center"/>
        <w:rPr>
          <w:rFonts w:hint="default" w:ascii="仿宋" w:hAnsi="仿宋" w:eastAsia="仿宋" w:cs="微软雅黑"/>
          <w:b/>
          <w:bCs/>
          <w:sz w:val="48"/>
          <w:szCs w:val="48"/>
          <w:lang w:val="en-US" w:eastAsia="zh-CN"/>
        </w:rPr>
      </w:pPr>
      <w:r>
        <w:rPr>
          <w:rFonts w:hint="eastAsia" w:ascii="仿宋" w:hAnsi="仿宋" w:eastAsia="仿宋" w:cs="微软雅黑"/>
          <w:b/>
          <w:bCs/>
          <w:sz w:val="48"/>
          <w:szCs w:val="48"/>
          <w:lang w:val="en-US" w:eastAsia="zh-CN"/>
        </w:rPr>
        <w:t>高科集团智慧管控平台项目</w:t>
      </w:r>
    </w:p>
    <w:p w14:paraId="419F0D2D">
      <w:pPr>
        <w:jc w:val="center"/>
        <w:rPr>
          <w:rFonts w:hint="default" w:ascii="仿宋" w:hAnsi="仿宋" w:eastAsia="仿宋" w:cs="微软雅黑"/>
          <w:b/>
          <w:bCs/>
          <w:sz w:val="48"/>
          <w:szCs w:val="48"/>
          <w:lang w:val="en-US" w:eastAsia="zh-CN"/>
        </w:rPr>
      </w:pPr>
      <w:r>
        <w:rPr>
          <w:rFonts w:hint="eastAsia" w:ascii="仿宋" w:hAnsi="仿宋" w:eastAsia="仿宋" w:cs="微软雅黑"/>
          <w:b/>
          <w:bCs/>
          <w:sz w:val="48"/>
          <w:szCs w:val="48"/>
          <w:lang w:val="en-US" w:eastAsia="zh-CN"/>
        </w:rPr>
        <w:t>造价服务</w:t>
      </w:r>
    </w:p>
    <w:p w14:paraId="34B4F6D4">
      <w:pPr>
        <w:pStyle w:val="2"/>
        <w:rPr>
          <w:rFonts w:hint="eastAsia"/>
          <w:lang w:val="en-US" w:eastAsia="zh-CN"/>
        </w:rPr>
      </w:pPr>
    </w:p>
    <w:p w14:paraId="4ADDFA3B">
      <w:pPr>
        <w:jc w:val="center"/>
        <w:rPr>
          <w:rFonts w:hint="eastAsia" w:ascii="方正小标宋简体" w:eastAsia="方正小标宋简体"/>
          <w:spacing w:val="-20"/>
          <w:sz w:val="72"/>
          <w:szCs w:val="40"/>
          <w:lang w:val="en-US" w:eastAsia="zh-CN"/>
        </w:rPr>
      </w:pPr>
      <w:r>
        <w:rPr>
          <w:rFonts w:hint="eastAsia" w:ascii="方正小标宋简体" w:eastAsia="方正小标宋简体"/>
          <w:spacing w:val="-20"/>
          <w:sz w:val="72"/>
          <w:szCs w:val="40"/>
          <w:lang w:val="en-US" w:eastAsia="zh-CN"/>
        </w:rPr>
        <w:t>预</w:t>
      </w:r>
    </w:p>
    <w:p w14:paraId="74212C25">
      <w:pPr>
        <w:jc w:val="center"/>
        <w:rPr>
          <w:rFonts w:hint="eastAsia" w:ascii="方正小标宋简体" w:eastAsia="方正小标宋简体"/>
          <w:spacing w:val="-20"/>
          <w:sz w:val="72"/>
          <w:szCs w:val="40"/>
          <w:lang w:val="en-US" w:eastAsia="zh-CN"/>
        </w:rPr>
      </w:pPr>
      <w:r>
        <w:rPr>
          <w:rFonts w:hint="eastAsia" w:ascii="方正小标宋简体" w:eastAsia="方正小标宋简体"/>
          <w:spacing w:val="-20"/>
          <w:sz w:val="72"/>
          <w:szCs w:val="40"/>
          <w:lang w:val="en-US" w:eastAsia="zh-CN"/>
        </w:rPr>
        <w:t>询</w:t>
      </w:r>
    </w:p>
    <w:p w14:paraId="03C79553">
      <w:pPr>
        <w:jc w:val="center"/>
        <w:rPr>
          <w:rFonts w:hint="eastAsia" w:ascii="方正小标宋简体" w:eastAsia="方正小标宋简体"/>
          <w:spacing w:val="-20"/>
          <w:sz w:val="72"/>
          <w:szCs w:val="40"/>
          <w:lang w:val="en-US" w:eastAsia="zh-CN"/>
        </w:rPr>
      </w:pPr>
      <w:r>
        <w:rPr>
          <w:rFonts w:hint="eastAsia" w:ascii="方正小标宋简体" w:eastAsia="方正小标宋简体"/>
          <w:spacing w:val="-20"/>
          <w:sz w:val="72"/>
          <w:szCs w:val="40"/>
          <w:lang w:val="en-US" w:eastAsia="zh-CN"/>
        </w:rPr>
        <w:t>价</w:t>
      </w:r>
    </w:p>
    <w:p w14:paraId="30A6F70B">
      <w:pPr>
        <w:jc w:val="center"/>
        <w:rPr>
          <w:rFonts w:hint="eastAsia" w:ascii="方正小标宋简体" w:eastAsia="方正小标宋简体"/>
          <w:spacing w:val="-20"/>
          <w:sz w:val="72"/>
          <w:szCs w:val="40"/>
          <w:lang w:val="en-US" w:eastAsia="zh-CN"/>
        </w:rPr>
      </w:pPr>
      <w:r>
        <w:rPr>
          <w:rFonts w:hint="eastAsia" w:ascii="方正小标宋简体" w:eastAsia="方正小标宋简体"/>
          <w:spacing w:val="-20"/>
          <w:sz w:val="72"/>
          <w:szCs w:val="40"/>
          <w:lang w:val="en-US" w:eastAsia="zh-CN"/>
        </w:rPr>
        <w:t>报</w:t>
      </w:r>
    </w:p>
    <w:p w14:paraId="5651C69F">
      <w:pPr>
        <w:jc w:val="center"/>
        <w:rPr>
          <w:rFonts w:hint="eastAsia" w:ascii="方正小标宋简体" w:eastAsia="方正小标宋简体"/>
          <w:spacing w:val="-20"/>
          <w:sz w:val="72"/>
          <w:szCs w:val="40"/>
          <w:lang w:val="en-US" w:eastAsia="zh-CN"/>
        </w:rPr>
      </w:pPr>
      <w:r>
        <w:rPr>
          <w:rFonts w:hint="eastAsia" w:ascii="方正小标宋简体" w:eastAsia="方正小标宋简体"/>
          <w:spacing w:val="-20"/>
          <w:sz w:val="72"/>
          <w:szCs w:val="40"/>
          <w:lang w:val="en-US" w:eastAsia="zh-CN"/>
        </w:rPr>
        <w:t>价</w:t>
      </w:r>
    </w:p>
    <w:p w14:paraId="261DA5BC">
      <w:pPr>
        <w:jc w:val="center"/>
        <w:rPr>
          <w:rFonts w:hint="eastAsia" w:ascii="方正小标宋简体" w:eastAsia="方正小标宋简体"/>
          <w:spacing w:val="-20"/>
          <w:sz w:val="96"/>
          <w:szCs w:val="44"/>
          <w:lang w:val="en-US" w:eastAsia="zh-CN"/>
        </w:rPr>
      </w:pPr>
      <w:r>
        <w:rPr>
          <w:rFonts w:hint="eastAsia" w:ascii="方正小标宋简体" w:eastAsia="方正小标宋简体"/>
          <w:spacing w:val="-20"/>
          <w:sz w:val="72"/>
          <w:szCs w:val="40"/>
          <w:lang w:val="en-US" w:eastAsia="zh-CN"/>
        </w:rPr>
        <w:t>函</w:t>
      </w:r>
    </w:p>
    <w:p w14:paraId="0EDBD3A9">
      <w:pPr>
        <w:pStyle w:val="2"/>
        <w:rPr>
          <w:rFonts w:hint="eastAsia" w:ascii="仿宋" w:hAnsi="仿宋" w:eastAsia="仿宋" w:cs="微软雅黑"/>
          <w:b/>
          <w:bCs/>
          <w:caps w:val="0"/>
          <w:kern w:val="2"/>
          <w:sz w:val="44"/>
          <w:szCs w:val="44"/>
          <w:lang w:val="en-US" w:eastAsia="zh-CN" w:bidi="ar-SA"/>
        </w:rPr>
      </w:pPr>
    </w:p>
    <w:p w14:paraId="53AE5B72">
      <w:pPr>
        <w:pStyle w:val="2"/>
        <w:rPr>
          <w:rFonts w:hint="eastAsia" w:ascii="仿宋" w:hAnsi="仿宋" w:eastAsia="仿宋" w:cs="微软雅黑"/>
          <w:b/>
          <w:bCs/>
          <w:caps w:val="0"/>
          <w:kern w:val="2"/>
          <w:sz w:val="32"/>
          <w:szCs w:val="32"/>
          <w:lang w:val="en-US" w:eastAsia="zh-CN" w:bidi="ar-SA"/>
        </w:rPr>
      </w:pPr>
    </w:p>
    <w:p w14:paraId="46D6DEB6">
      <w:pPr>
        <w:pStyle w:val="2"/>
        <w:rPr>
          <w:rFonts w:hint="default" w:ascii="仿宋" w:hAnsi="仿宋" w:eastAsia="仿宋" w:cs="微软雅黑"/>
          <w:b/>
          <w:bCs/>
          <w:caps w:val="0"/>
          <w:kern w:val="2"/>
          <w:sz w:val="32"/>
          <w:szCs w:val="32"/>
          <w:lang w:val="en-US" w:eastAsia="zh-CN" w:bidi="ar-SA"/>
        </w:rPr>
      </w:pPr>
      <w:r>
        <w:rPr>
          <w:rFonts w:hint="eastAsia" w:ascii="仿宋" w:hAnsi="仿宋" w:eastAsia="仿宋" w:cs="微软雅黑"/>
          <w:b/>
          <w:bCs/>
          <w:caps w:val="0"/>
          <w:kern w:val="2"/>
          <w:sz w:val="32"/>
          <w:szCs w:val="32"/>
          <w:lang w:val="en-US" w:eastAsia="zh-CN" w:bidi="ar-SA"/>
        </w:rPr>
        <w:t>单位名称（盖章）：</w:t>
      </w:r>
    </w:p>
    <w:p w14:paraId="5DF4DECC">
      <w:pPr>
        <w:jc w:val="center"/>
        <w:rPr>
          <w:rFonts w:hint="eastAsia" w:ascii="仿宋" w:hAnsi="仿宋" w:eastAsia="仿宋" w:cs="微软雅黑"/>
          <w:b/>
          <w:bCs/>
          <w:sz w:val="44"/>
          <w:szCs w:val="44"/>
        </w:rPr>
      </w:pPr>
    </w:p>
    <w:p w14:paraId="10C99EC2">
      <w:pPr>
        <w:jc w:val="center"/>
        <w:rPr>
          <w:rFonts w:hint="eastAsia" w:ascii="仿宋" w:hAnsi="仿宋" w:eastAsia="仿宋" w:cs="微软雅黑"/>
          <w:b/>
          <w:bCs/>
          <w:sz w:val="44"/>
          <w:szCs w:val="44"/>
        </w:rPr>
      </w:pPr>
    </w:p>
    <w:p w14:paraId="472176EC">
      <w:pPr>
        <w:jc w:val="center"/>
        <w:rPr>
          <w:rFonts w:hint="default" w:ascii="仿宋" w:hAnsi="仿宋" w:eastAsia="仿宋" w:cs="微软雅黑"/>
          <w:b/>
          <w:bCs/>
          <w:sz w:val="44"/>
          <w:szCs w:val="44"/>
          <w:lang w:val="en-US" w:eastAsia="zh-CN"/>
        </w:rPr>
      </w:pPr>
      <w:r>
        <w:rPr>
          <w:rFonts w:hint="eastAsia" w:ascii="仿宋" w:hAnsi="仿宋" w:eastAsia="仿宋" w:cs="微软雅黑"/>
          <w:b/>
          <w:bCs/>
          <w:sz w:val="44"/>
          <w:szCs w:val="44"/>
        </w:rPr>
        <w:t xml:space="preserve"> </w:t>
      </w:r>
      <w:r>
        <w:rPr>
          <w:rFonts w:hint="eastAsia" w:ascii="仿宋" w:hAnsi="仿宋" w:eastAsia="仿宋" w:cs="微软雅黑"/>
          <w:b/>
          <w:bCs/>
          <w:sz w:val="44"/>
          <w:szCs w:val="44"/>
          <w:lang w:val="en-US" w:eastAsia="zh-CN"/>
        </w:rPr>
        <w:t>高科集团智慧管控平台项目</w:t>
      </w:r>
    </w:p>
    <w:p w14:paraId="1C953FE6">
      <w:pPr>
        <w:jc w:val="center"/>
        <w:rPr>
          <w:rFonts w:hint="eastAsia" w:ascii="仿宋" w:hAnsi="仿宋" w:eastAsia="仿宋" w:cs="微软雅黑"/>
          <w:b/>
          <w:bCs/>
          <w:sz w:val="44"/>
          <w:szCs w:val="44"/>
          <w:lang w:val="en-US" w:eastAsia="zh-CN"/>
        </w:rPr>
      </w:pPr>
      <w:r>
        <w:rPr>
          <w:rFonts w:hint="eastAsia" w:ascii="仿宋" w:hAnsi="仿宋" w:eastAsia="仿宋" w:cs="微软雅黑"/>
          <w:b/>
          <w:bCs/>
          <w:sz w:val="44"/>
          <w:szCs w:val="44"/>
          <w:lang w:val="en-US" w:eastAsia="zh-CN"/>
        </w:rPr>
        <w:t>造价服务预询价报价单</w:t>
      </w:r>
    </w:p>
    <w:p w14:paraId="09D4880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仿宋" w:hAnsi="仿宋" w:eastAsia="仿宋" w:cs="微软雅黑"/>
          <w:b/>
          <w:bCs/>
          <w:sz w:val="44"/>
          <w:szCs w:val="44"/>
          <w:lang w:val="en-US" w:eastAsia="zh-CN"/>
        </w:rPr>
      </w:pPr>
    </w:p>
    <w:tbl>
      <w:tblPr>
        <w:tblStyle w:val="5"/>
        <w:tblW w:w="81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96"/>
        <w:gridCol w:w="5324"/>
        <w:gridCol w:w="1470"/>
      </w:tblGrid>
      <w:tr w14:paraId="47A6C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1266F484">
            <w:pPr>
              <w:widowControl/>
              <w:spacing w:line="360" w:lineRule="auto"/>
              <w:jc w:val="center"/>
              <w:textAlignment w:val="center"/>
              <w:rPr>
                <w:rFonts w:hint="eastAsia" w:ascii="仿宋" w:hAnsi="仿宋" w:eastAsia="仿宋" w:cs="仿宋"/>
                <w:b/>
                <w:color w:val="000000"/>
                <w:kern w:val="0"/>
                <w:sz w:val="24"/>
                <w:szCs w:val="24"/>
              </w:rPr>
            </w:pPr>
            <w:r>
              <w:rPr>
                <w:rFonts w:hint="eastAsia" w:ascii="仿宋" w:hAnsi="仿宋" w:eastAsia="仿宋" w:cs="仿宋"/>
                <w:b/>
                <w:color w:val="000000"/>
                <w:kern w:val="0"/>
                <w:sz w:val="24"/>
                <w:szCs w:val="24"/>
              </w:rPr>
              <w:t>项目名称</w:t>
            </w:r>
          </w:p>
        </w:tc>
        <w:tc>
          <w:tcPr>
            <w:tcW w:w="6794" w:type="dxa"/>
            <w:gridSpan w:val="2"/>
            <w:shd w:val="clear" w:color="auto" w:fill="auto"/>
            <w:vAlign w:val="center"/>
          </w:tcPr>
          <w:p w14:paraId="1E1129E5">
            <w:pPr>
              <w:widowControl/>
              <w:spacing w:line="360" w:lineRule="auto"/>
              <w:jc w:val="both"/>
              <w:textAlignment w:val="center"/>
              <w:rPr>
                <w:rFonts w:hint="eastAsia" w:ascii="仿宋" w:hAnsi="仿宋" w:eastAsia="仿宋" w:cs="仿宋"/>
                <w:b/>
                <w:color w:val="000000"/>
                <w:kern w:val="0"/>
                <w:sz w:val="24"/>
                <w:szCs w:val="24"/>
              </w:rPr>
            </w:pPr>
            <w:r>
              <w:rPr>
                <w:rFonts w:hint="eastAsia" w:ascii="仿宋" w:hAnsi="仿宋" w:eastAsia="仿宋" w:cs="仿宋"/>
                <w:b/>
                <w:color w:val="000000"/>
                <w:kern w:val="0"/>
                <w:sz w:val="24"/>
                <w:szCs w:val="24"/>
                <w:lang w:val="en-US" w:eastAsia="zh-CN"/>
              </w:rPr>
              <w:t>高科集团智慧管控平台项目造价服务预询价报价单</w:t>
            </w:r>
          </w:p>
        </w:tc>
      </w:tr>
      <w:tr w14:paraId="08ECB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1396" w:type="dxa"/>
            <w:shd w:val="clear" w:color="auto" w:fill="auto"/>
            <w:vAlign w:val="center"/>
          </w:tcPr>
          <w:p w14:paraId="66C0B1D1">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rPr>
            </w:pPr>
            <w:r>
              <w:rPr>
                <w:rFonts w:hint="eastAsia" w:ascii="仿宋" w:hAnsi="仿宋" w:eastAsia="仿宋" w:cs="仿宋"/>
                <w:b/>
                <w:color w:val="000000"/>
                <w:kern w:val="0"/>
                <w:sz w:val="24"/>
                <w:szCs w:val="24"/>
              </w:rPr>
              <w:t>机构（公司）名称</w:t>
            </w:r>
          </w:p>
        </w:tc>
        <w:tc>
          <w:tcPr>
            <w:tcW w:w="5324" w:type="dxa"/>
            <w:shd w:val="clear" w:color="auto" w:fill="auto"/>
            <w:vAlign w:val="center"/>
          </w:tcPr>
          <w:p w14:paraId="1D24F58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4"/>
                <w:szCs w:val="24"/>
                <w:lang w:val="en-US" w:eastAsia="zh-CN"/>
              </w:rPr>
            </w:pPr>
          </w:p>
        </w:tc>
        <w:tc>
          <w:tcPr>
            <w:tcW w:w="1470" w:type="dxa"/>
            <w:shd w:val="clear" w:color="auto" w:fill="auto"/>
            <w:vAlign w:val="center"/>
          </w:tcPr>
          <w:p w14:paraId="616F0E0A">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报价：</w:t>
            </w:r>
          </w:p>
          <w:p w14:paraId="1BC1578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4"/>
                <w:szCs w:val="24"/>
                <w:lang w:val="en-US" w:eastAsia="zh-CN"/>
              </w:rPr>
            </w:pPr>
            <w:r>
              <w:rPr>
                <w:rFonts w:hint="eastAsia" w:ascii="仿宋" w:hAnsi="仿宋" w:eastAsia="仿宋" w:cs="仿宋"/>
                <w:b/>
                <w:bCs/>
                <w:sz w:val="24"/>
                <w:szCs w:val="24"/>
                <w:lang w:val="en-US" w:eastAsia="zh-CN"/>
              </w:rPr>
              <w:t>单位：万元</w:t>
            </w:r>
          </w:p>
        </w:tc>
      </w:tr>
      <w:tr w14:paraId="0E5F4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1" w:hRule="atLeast"/>
          <w:jc w:val="center"/>
        </w:trPr>
        <w:tc>
          <w:tcPr>
            <w:tcW w:w="1396" w:type="dxa"/>
            <w:vMerge w:val="restart"/>
            <w:shd w:val="clear" w:color="auto" w:fill="auto"/>
            <w:vAlign w:val="center"/>
          </w:tcPr>
          <w:p w14:paraId="4588F848">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rPr>
            </w:pPr>
            <w:r>
              <w:rPr>
                <w:rFonts w:hint="eastAsia" w:ascii="仿宋" w:hAnsi="仿宋" w:eastAsia="仿宋" w:cs="仿宋"/>
                <w:b/>
                <w:bCs/>
                <w:sz w:val="24"/>
                <w:szCs w:val="24"/>
              </w:rPr>
              <w:t>服务内容</w:t>
            </w:r>
          </w:p>
        </w:tc>
        <w:tc>
          <w:tcPr>
            <w:tcW w:w="5324" w:type="dxa"/>
            <w:shd w:val="clear" w:color="auto" w:fill="auto"/>
            <w:vAlign w:val="center"/>
          </w:tcPr>
          <w:p w14:paraId="2C81FC5F">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hint="default"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完成时间：签订合同后十个工作日内完成所有工作内容</w:t>
            </w:r>
          </w:p>
        </w:tc>
        <w:tc>
          <w:tcPr>
            <w:tcW w:w="1470" w:type="dxa"/>
            <w:vMerge w:val="restart"/>
            <w:shd w:val="clear" w:color="auto" w:fill="auto"/>
            <w:vAlign w:val="center"/>
          </w:tcPr>
          <w:p w14:paraId="29E8D17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val="0"/>
                <w:bCs w:val="0"/>
                <w:sz w:val="32"/>
                <w:szCs w:val="32"/>
                <w:lang w:val="en-US" w:eastAsia="zh-CN"/>
              </w:rPr>
            </w:pPr>
          </w:p>
        </w:tc>
      </w:tr>
      <w:tr w14:paraId="0A0B0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1396" w:type="dxa"/>
            <w:vMerge w:val="continue"/>
            <w:shd w:val="clear" w:color="auto" w:fill="auto"/>
            <w:vAlign w:val="center"/>
          </w:tcPr>
          <w:p w14:paraId="76128154">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bCs/>
                <w:sz w:val="24"/>
                <w:szCs w:val="24"/>
              </w:rPr>
            </w:pPr>
          </w:p>
        </w:tc>
        <w:tc>
          <w:tcPr>
            <w:tcW w:w="5324" w:type="dxa"/>
            <w:shd w:val="clear" w:color="auto" w:fill="auto"/>
            <w:vAlign w:val="center"/>
          </w:tcPr>
          <w:p w14:paraId="55300EA1">
            <w:pPr>
              <w:keepNext w:val="0"/>
              <w:keepLines w:val="0"/>
              <w:pageBreakBefore w:val="0"/>
              <w:widowControl/>
              <w:kinsoku/>
              <w:wordWrap/>
              <w:overflowPunct/>
              <w:topLinePunct w:val="0"/>
              <w:autoSpaceDE/>
              <w:autoSpaceDN/>
              <w:bidi w:val="0"/>
              <w:adjustRightInd/>
              <w:snapToGrid/>
              <w:spacing w:line="400" w:lineRule="exact"/>
              <w:jc w:val="left"/>
              <w:textAlignment w:val="center"/>
              <w:rPr>
                <w:rFonts w:hint="eastAsia" w:ascii="仿宋" w:hAnsi="仿宋" w:eastAsia="仿宋" w:cs="仿宋"/>
                <w:b w:val="0"/>
                <w:bCs w:val="0"/>
                <w:color w:val="auto"/>
                <w:sz w:val="24"/>
                <w:szCs w:val="24"/>
                <w:lang w:val="en-US" w:eastAsia="zh-CN"/>
              </w:rPr>
            </w:pPr>
            <w:r>
              <w:rPr>
                <w:rFonts w:hint="eastAsia" w:ascii="仿宋" w:hAnsi="仿宋" w:eastAsia="仿宋" w:cs="仿宋"/>
                <w:b w:val="0"/>
                <w:bCs w:val="0"/>
                <w:color w:val="auto"/>
                <w:sz w:val="24"/>
                <w:szCs w:val="24"/>
                <w:lang w:val="en-US" w:eastAsia="zh-CN"/>
              </w:rPr>
              <w:t>形成《高科集团智慧管控平台项目造价报告》，并通过我方审核</w:t>
            </w:r>
          </w:p>
        </w:tc>
        <w:tc>
          <w:tcPr>
            <w:tcW w:w="1470" w:type="dxa"/>
            <w:vMerge w:val="continue"/>
            <w:shd w:val="clear" w:color="auto" w:fill="auto"/>
            <w:vAlign w:val="center"/>
          </w:tcPr>
          <w:p w14:paraId="747281CA">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val="0"/>
                <w:bCs w:val="0"/>
                <w:sz w:val="32"/>
                <w:szCs w:val="32"/>
                <w:lang w:val="en-US" w:eastAsia="zh-CN"/>
              </w:rPr>
            </w:pPr>
          </w:p>
        </w:tc>
      </w:tr>
      <w:tr w14:paraId="723FC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1396" w:type="dxa"/>
            <w:shd w:val="clear" w:color="auto" w:fill="auto"/>
            <w:vAlign w:val="center"/>
          </w:tcPr>
          <w:p w14:paraId="0584429F">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eastAsia" w:ascii="仿宋" w:hAnsi="仿宋" w:eastAsia="仿宋" w:cs="仿宋"/>
                <w:b/>
                <w:color w:val="000000"/>
                <w:kern w:val="0"/>
                <w:sz w:val="24"/>
                <w:szCs w:val="24"/>
              </w:rPr>
            </w:pPr>
            <w:r>
              <w:rPr>
                <w:rFonts w:hint="eastAsia" w:ascii="仿宋" w:hAnsi="仿宋" w:eastAsia="仿宋" w:cs="仿宋"/>
                <w:b/>
                <w:color w:val="000000"/>
                <w:kern w:val="0"/>
                <w:sz w:val="24"/>
                <w:szCs w:val="24"/>
              </w:rPr>
              <w:t>总价（元）</w:t>
            </w:r>
          </w:p>
        </w:tc>
        <w:tc>
          <w:tcPr>
            <w:tcW w:w="5324" w:type="dxa"/>
            <w:shd w:val="clear" w:color="auto" w:fill="auto"/>
            <w:vAlign w:val="center"/>
          </w:tcPr>
          <w:p w14:paraId="4280DD79">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24"/>
                <w:szCs w:val="24"/>
                <w:lang w:val="en-US" w:eastAsia="zh-CN"/>
              </w:rPr>
            </w:pPr>
            <w:r>
              <w:rPr>
                <w:rFonts w:hint="eastAsia" w:ascii="仿宋" w:hAnsi="仿宋" w:eastAsia="仿宋" w:cs="仿宋"/>
                <w:b/>
                <w:bCs/>
                <w:sz w:val="24"/>
                <w:szCs w:val="24"/>
                <w:lang w:val="en-US" w:eastAsia="zh-CN"/>
              </w:rPr>
              <w:t>*****元（大写：*****）（含税价）</w:t>
            </w:r>
          </w:p>
        </w:tc>
        <w:tc>
          <w:tcPr>
            <w:tcW w:w="1470" w:type="dxa"/>
            <w:shd w:val="clear" w:color="auto" w:fill="auto"/>
            <w:vAlign w:val="center"/>
          </w:tcPr>
          <w:p w14:paraId="5A7E8EAC">
            <w:pPr>
              <w:keepNext w:val="0"/>
              <w:keepLines w:val="0"/>
              <w:pageBreakBefore w:val="0"/>
              <w:widowControl/>
              <w:kinsoku/>
              <w:wordWrap/>
              <w:overflowPunct/>
              <w:topLinePunct w:val="0"/>
              <w:autoSpaceDE/>
              <w:autoSpaceDN/>
              <w:bidi w:val="0"/>
              <w:adjustRightInd/>
              <w:snapToGrid/>
              <w:spacing w:line="400" w:lineRule="exact"/>
              <w:jc w:val="center"/>
              <w:textAlignment w:val="center"/>
              <w:rPr>
                <w:rFonts w:hint="default" w:ascii="仿宋" w:hAnsi="仿宋" w:eastAsia="仿宋" w:cs="仿宋"/>
                <w:b/>
                <w:bCs/>
                <w:sz w:val="32"/>
                <w:szCs w:val="32"/>
                <w:lang w:val="en-US" w:eastAsia="zh-CN"/>
              </w:rPr>
            </w:pPr>
          </w:p>
        </w:tc>
      </w:tr>
    </w:tbl>
    <w:p w14:paraId="4A95E5CD">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lang w:val="en-US" w:eastAsia="zh-CN"/>
        </w:rPr>
        <w:t>单位</w:t>
      </w:r>
      <w:r>
        <w:rPr>
          <w:rFonts w:hint="eastAsia" w:ascii="仿宋" w:hAnsi="仿宋" w:eastAsia="仿宋" w:cs="Times New Roman"/>
          <w:bCs/>
          <w:sz w:val="28"/>
          <w:szCs w:val="28"/>
        </w:rPr>
        <w:t>名称（盖章）：</w:t>
      </w:r>
    </w:p>
    <w:p w14:paraId="5745DAC2">
      <w:pPr>
        <w:spacing w:line="360" w:lineRule="auto"/>
        <w:rPr>
          <w:rFonts w:hint="eastAsia" w:ascii="仿宋" w:hAnsi="仿宋" w:eastAsia="仿宋" w:cs="Times New Roman"/>
          <w:bCs/>
          <w:sz w:val="28"/>
          <w:szCs w:val="28"/>
        </w:rPr>
      </w:pPr>
      <w:r>
        <w:rPr>
          <w:rFonts w:hint="eastAsia" w:ascii="仿宋" w:hAnsi="仿宋" w:eastAsia="仿宋" w:cs="Times New Roman"/>
          <w:bCs/>
          <w:sz w:val="28"/>
          <w:szCs w:val="28"/>
        </w:rPr>
        <w:t>法定代表人或授权代表签字（签字或盖章）：</w:t>
      </w:r>
    </w:p>
    <w:p w14:paraId="6BF36C44">
      <w:pPr>
        <w:spacing w:line="360" w:lineRule="auto"/>
        <w:rPr>
          <w:rFonts w:hint="default" w:ascii="仿宋" w:hAnsi="仿宋" w:eastAsia="仿宋" w:cs="Times New Roman"/>
          <w:bCs/>
          <w:sz w:val="28"/>
          <w:szCs w:val="28"/>
          <w:lang w:val="en-US" w:eastAsia="zh-CN"/>
        </w:rPr>
      </w:pPr>
      <w:r>
        <w:rPr>
          <w:rFonts w:hint="eastAsia" w:ascii="仿宋" w:hAnsi="仿宋" w:eastAsia="仿宋" w:cs="Times New Roman"/>
          <w:bCs/>
          <w:sz w:val="28"/>
          <w:szCs w:val="28"/>
        </w:rPr>
        <w:t>日期：</w:t>
      </w:r>
      <w:r>
        <w:rPr>
          <w:rFonts w:hint="eastAsia" w:ascii="仿宋" w:hAnsi="仿宋" w:eastAsia="仿宋" w:cs="Times New Roman"/>
          <w:bCs/>
          <w:sz w:val="28"/>
          <w:szCs w:val="28"/>
          <w:lang w:val="en-US" w:eastAsia="zh-CN"/>
        </w:rPr>
        <w:t>2025年x月xx日</w:t>
      </w:r>
    </w:p>
    <w:p w14:paraId="4151F30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sz w:val="28"/>
          <w:szCs w:val="28"/>
          <w:lang w:val="en-US" w:eastAsia="zh-CN"/>
        </w:rPr>
      </w:pPr>
    </w:p>
    <w:p w14:paraId="085B19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sz w:val="28"/>
          <w:szCs w:val="28"/>
          <w:lang w:val="en-US" w:eastAsia="zh-CN"/>
        </w:rPr>
      </w:pPr>
    </w:p>
    <w:p w14:paraId="1BFEB1D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sz w:val="28"/>
          <w:szCs w:val="28"/>
          <w:lang w:val="en-US" w:eastAsia="zh-CN"/>
        </w:rPr>
      </w:pPr>
    </w:p>
    <w:p w14:paraId="0E195C5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sz w:val="28"/>
          <w:szCs w:val="28"/>
          <w:lang w:val="en-US" w:eastAsia="zh-CN"/>
        </w:rPr>
      </w:pPr>
    </w:p>
    <w:p w14:paraId="496C70B2">
      <w:pPr>
        <w:pStyle w:val="3"/>
        <w:numPr>
          <w:ilvl w:val="0"/>
          <w:numId w:val="0"/>
        </w:numPr>
        <w:ind w:leftChars="0"/>
        <w:rPr>
          <w:rFonts w:hint="eastAsia" w:ascii="黑体" w:hAnsi="黑体" w:eastAsia="黑体"/>
          <w:lang w:val="en-US" w:eastAsia="zh-CN"/>
        </w:rPr>
      </w:pPr>
      <w:bookmarkStart w:id="0" w:name="_附表一、项目硬件投资预算表"/>
      <w:bookmarkEnd w:id="0"/>
      <w:bookmarkStart w:id="1" w:name="_Toc203045783"/>
      <w:bookmarkStart w:id="2" w:name="_Toc177721913"/>
      <w:r>
        <w:rPr>
          <w:rFonts w:hint="eastAsia" w:ascii="黑体" w:hAnsi="黑体" w:eastAsia="黑体"/>
          <w:lang w:val="en-US" w:eastAsia="zh-CN"/>
        </w:rPr>
        <w:t>营业执照</w:t>
      </w:r>
    </w:p>
    <w:p w14:paraId="301918D6">
      <w:pPr>
        <w:pStyle w:val="3"/>
        <w:numPr>
          <w:ilvl w:val="0"/>
          <w:numId w:val="0"/>
        </w:numPr>
        <w:ind w:leftChars="0"/>
        <w:rPr>
          <w:rFonts w:hint="eastAsia" w:ascii="黑体" w:hAnsi="黑体" w:eastAsia="黑体"/>
          <w:lang w:val="en-US" w:eastAsia="zh-CN"/>
        </w:rPr>
      </w:pPr>
      <w:bookmarkStart w:id="9" w:name="_GoBack"/>
      <w:bookmarkEnd w:id="9"/>
    </w:p>
    <w:p w14:paraId="009CF9AC">
      <w:pPr>
        <w:pStyle w:val="3"/>
        <w:numPr>
          <w:ilvl w:val="0"/>
          <w:numId w:val="0"/>
        </w:numPr>
        <w:ind w:leftChars="0"/>
        <w:rPr>
          <w:rFonts w:hint="eastAsia" w:ascii="黑体" w:hAnsi="黑体" w:eastAsia="黑体"/>
          <w:lang w:val="en-US" w:eastAsia="zh-CN"/>
        </w:rPr>
      </w:pPr>
    </w:p>
    <w:p w14:paraId="6533A3EE">
      <w:pPr>
        <w:pStyle w:val="3"/>
        <w:numPr>
          <w:ilvl w:val="0"/>
          <w:numId w:val="0"/>
        </w:numPr>
        <w:ind w:leftChars="0"/>
        <w:rPr>
          <w:rFonts w:hint="eastAsia" w:ascii="黑体" w:hAnsi="黑体" w:eastAsia="黑体"/>
          <w:lang w:val="en-US" w:eastAsia="zh-CN"/>
        </w:rPr>
      </w:pPr>
    </w:p>
    <w:p w14:paraId="69E06A51">
      <w:pPr>
        <w:pStyle w:val="3"/>
        <w:numPr>
          <w:ilvl w:val="0"/>
          <w:numId w:val="0"/>
        </w:numPr>
        <w:ind w:leftChars="0"/>
        <w:rPr>
          <w:rFonts w:hint="eastAsia" w:ascii="黑体" w:hAnsi="黑体" w:eastAsia="黑体"/>
          <w:lang w:val="en-US" w:eastAsia="zh-CN"/>
        </w:rPr>
      </w:pPr>
    </w:p>
    <w:p w14:paraId="7A6E9FEB">
      <w:pPr>
        <w:pStyle w:val="3"/>
        <w:numPr>
          <w:ilvl w:val="0"/>
          <w:numId w:val="0"/>
        </w:numPr>
        <w:ind w:leftChars="0"/>
        <w:rPr>
          <w:rFonts w:hint="eastAsia" w:ascii="黑体" w:hAnsi="黑体" w:eastAsia="黑体"/>
          <w:lang w:val="en-US" w:eastAsia="zh-CN"/>
        </w:rPr>
      </w:pPr>
    </w:p>
    <w:p w14:paraId="055A786A">
      <w:pPr>
        <w:pStyle w:val="3"/>
        <w:numPr>
          <w:ilvl w:val="0"/>
          <w:numId w:val="0"/>
        </w:numPr>
        <w:ind w:leftChars="0"/>
        <w:rPr>
          <w:rFonts w:hint="eastAsia" w:ascii="黑体" w:hAnsi="黑体" w:eastAsia="黑体"/>
          <w:lang w:val="en-US" w:eastAsia="zh-CN"/>
        </w:rPr>
      </w:pPr>
    </w:p>
    <w:p w14:paraId="112BF189">
      <w:pPr>
        <w:rPr>
          <w:rFonts w:hint="eastAsia" w:ascii="黑体" w:hAnsi="黑体" w:eastAsia="黑体"/>
          <w:lang w:val="en-US" w:eastAsia="zh-CN"/>
        </w:rPr>
      </w:pPr>
      <w:r>
        <w:rPr>
          <w:rFonts w:hint="eastAsia" w:ascii="黑体" w:hAnsi="黑体" w:eastAsia="黑体"/>
          <w:lang w:val="en-US" w:eastAsia="zh-CN"/>
        </w:rPr>
        <w:br w:type="page"/>
      </w:r>
    </w:p>
    <w:p w14:paraId="5711BAFF">
      <w:pPr>
        <w:pStyle w:val="3"/>
        <w:numPr>
          <w:ilvl w:val="0"/>
          <w:numId w:val="0"/>
        </w:numPr>
        <w:ind w:leftChars="0"/>
      </w:pPr>
      <w:r>
        <w:rPr>
          <w:rFonts w:hint="eastAsia" w:ascii="黑体" w:hAnsi="黑体" w:eastAsia="黑体"/>
          <w:lang w:val="en-US" w:eastAsia="zh-CN"/>
        </w:rPr>
        <w:t>附件2：</w:t>
      </w:r>
      <w:r>
        <w:rPr>
          <w:rFonts w:hint="eastAsia" w:ascii="黑体" w:hAnsi="黑体" w:eastAsia="黑体"/>
        </w:rPr>
        <w:t>高科集团智慧管控平台项目功能清单表</w:t>
      </w:r>
      <w:bookmarkEnd w:id="1"/>
      <w:bookmarkEnd w:id="2"/>
    </w:p>
    <w:p w14:paraId="18DC5D94">
      <w:pPr>
        <w:pStyle w:val="3"/>
        <w:numPr>
          <w:numId w:val="0"/>
        </w:numPr>
        <w:ind w:leftChars="0"/>
        <w:rPr>
          <w:rFonts w:ascii="黑体" w:hAnsi="黑体" w:eastAsia="黑体"/>
        </w:rPr>
      </w:pPr>
      <w:bookmarkStart w:id="3" w:name="_附表二、基础能力软件建设清单"/>
      <w:bookmarkEnd w:id="3"/>
      <w:r>
        <w:rPr>
          <w:rFonts w:hint="eastAsia" w:ascii="黑体" w:hAnsi="黑体" w:eastAsia="黑体"/>
        </w:rPr>
        <w:t>项目硬件投资预算表</w:t>
      </w:r>
    </w:p>
    <w:tbl>
      <w:tblPr>
        <w:tblStyle w:val="5"/>
        <w:tblW w:w="5103" w:type="pct"/>
        <w:tblInd w:w="0" w:type="dxa"/>
        <w:tblLayout w:type="autofit"/>
        <w:tblCellMar>
          <w:top w:w="0" w:type="dxa"/>
          <w:left w:w="108" w:type="dxa"/>
          <w:bottom w:w="0" w:type="dxa"/>
          <w:right w:w="108" w:type="dxa"/>
        </w:tblCellMar>
      </w:tblPr>
      <w:tblGrid>
        <w:gridCol w:w="550"/>
        <w:gridCol w:w="1418"/>
        <w:gridCol w:w="5488"/>
        <w:gridCol w:w="685"/>
        <w:gridCol w:w="557"/>
      </w:tblGrid>
      <w:tr w14:paraId="41ED1991">
        <w:tblPrEx>
          <w:tblCellMar>
            <w:top w:w="0" w:type="dxa"/>
            <w:left w:w="108" w:type="dxa"/>
            <w:bottom w:w="0" w:type="dxa"/>
            <w:right w:w="108" w:type="dxa"/>
          </w:tblCellMar>
        </w:tblPrEx>
        <w:trPr>
          <w:trHeight w:val="657" w:hRule="atLeast"/>
        </w:trPr>
        <w:tc>
          <w:tcPr>
            <w:tcW w:w="316" w:type="pct"/>
            <w:tcBorders>
              <w:top w:val="single" w:color="auto" w:sz="4" w:space="0"/>
              <w:left w:val="single" w:color="auto" w:sz="4" w:space="0"/>
              <w:bottom w:val="single" w:color="auto" w:sz="4" w:space="0"/>
              <w:right w:val="single" w:color="auto" w:sz="4" w:space="0"/>
            </w:tcBorders>
            <w:shd w:val="clear" w:color="auto" w:fill="auto"/>
            <w:vAlign w:val="center"/>
          </w:tcPr>
          <w:p w14:paraId="5BBFBE0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序号</w:t>
            </w:r>
          </w:p>
        </w:tc>
        <w:tc>
          <w:tcPr>
            <w:tcW w:w="815" w:type="pct"/>
            <w:tcBorders>
              <w:top w:val="single" w:color="auto" w:sz="4" w:space="0"/>
              <w:left w:val="nil"/>
              <w:bottom w:val="single" w:color="auto" w:sz="4" w:space="0"/>
              <w:right w:val="single" w:color="auto" w:sz="4" w:space="0"/>
            </w:tcBorders>
            <w:shd w:val="clear" w:color="auto" w:fill="auto"/>
            <w:vAlign w:val="center"/>
          </w:tcPr>
          <w:p w14:paraId="30CBF68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设备名称</w:t>
            </w:r>
          </w:p>
        </w:tc>
        <w:tc>
          <w:tcPr>
            <w:tcW w:w="3155" w:type="pct"/>
            <w:tcBorders>
              <w:top w:val="single" w:color="auto" w:sz="4" w:space="0"/>
              <w:left w:val="nil"/>
              <w:bottom w:val="single" w:color="auto" w:sz="4" w:space="0"/>
              <w:right w:val="single" w:color="auto" w:sz="4" w:space="0"/>
            </w:tcBorders>
            <w:shd w:val="clear" w:color="auto" w:fill="auto"/>
            <w:vAlign w:val="center"/>
          </w:tcPr>
          <w:p w14:paraId="3C58791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参数要求</w:t>
            </w:r>
          </w:p>
        </w:tc>
        <w:tc>
          <w:tcPr>
            <w:tcW w:w="394" w:type="pct"/>
            <w:tcBorders>
              <w:top w:val="single" w:color="auto" w:sz="4" w:space="0"/>
              <w:left w:val="nil"/>
              <w:bottom w:val="single" w:color="auto" w:sz="4" w:space="0"/>
              <w:right w:val="single" w:color="auto" w:sz="4" w:space="0"/>
            </w:tcBorders>
            <w:shd w:val="clear" w:color="auto" w:fill="auto"/>
            <w:vAlign w:val="center"/>
          </w:tcPr>
          <w:p w14:paraId="75D07B2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数量</w:t>
            </w:r>
          </w:p>
        </w:tc>
        <w:tc>
          <w:tcPr>
            <w:tcW w:w="317" w:type="pct"/>
            <w:tcBorders>
              <w:top w:val="single" w:color="auto" w:sz="4" w:space="0"/>
              <w:left w:val="nil"/>
              <w:bottom w:val="single" w:color="auto" w:sz="4" w:space="0"/>
              <w:right w:val="single" w:color="auto" w:sz="4" w:space="0"/>
            </w:tcBorders>
            <w:shd w:val="clear" w:color="auto" w:fill="auto"/>
            <w:vAlign w:val="center"/>
          </w:tcPr>
          <w:p w14:paraId="0D22F21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单位</w:t>
            </w:r>
          </w:p>
        </w:tc>
      </w:tr>
      <w:tr w14:paraId="31675419">
        <w:tblPrEx>
          <w:tblCellMar>
            <w:top w:w="0" w:type="dxa"/>
            <w:left w:w="108" w:type="dxa"/>
            <w:bottom w:w="0" w:type="dxa"/>
            <w:right w:w="108" w:type="dxa"/>
          </w:tblCellMar>
        </w:tblPrEx>
        <w:trPr>
          <w:trHeight w:val="333" w:hRule="atLeast"/>
        </w:trPr>
        <w:tc>
          <w:tcPr>
            <w:tcW w:w="5000" w:type="pct"/>
            <w:gridSpan w:val="5"/>
            <w:tcBorders>
              <w:top w:val="single" w:color="auto" w:sz="4" w:space="0"/>
              <w:left w:val="single" w:color="auto" w:sz="4" w:space="0"/>
              <w:bottom w:val="single" w:color="auto" w:sz="4" w:space="0"/>
              <w:right w:val="single" w:color="auto" w:sz="4" w:space="0"/>
            </w:tcBorders>
            <w:shd w:val="clear" w:color="auto" w:fill="auto"/>
            <w:vAlign w:val="center"/>
          </w:tcPr>
          <w:p w14:paraId="7BB40413">
            <w:pPr>
              <w:widowControl/>
              <w:jc w:val="center"/>
              <w:rPr>
                <w:rFonts w:ascii="宋体" w:hAnsi="宋体" w:eastAsia="宋体" w:cs="宋体"/>
                <w:b/>
                <w:bCs/>
                <w:color w:val="000000"/>
                <w:kern w:val="0"/>
                <w:sz w:val="24"/>
                <w:szCs w:val="24"/>
                <w14:ligatures w14:val="none"/>
              </w:rPr>
            </w:pPr>
            <w:r>
              <w:rPr>
                <w:rFonts w:hint="eastAsia" w:ascii="宋体" w:hAnsi="宋体" w:eastAsia="宋体" w:cs="宋体"/>
                <w:b/>
                <w:bCs/>
                <w:color w:val="000000"/>
                <w:kern w:val="0"/>
                <w:sz w:val="24"/>
                <w:szCs w:val="24"/>
                <w14:ligatures w14:val="none"/>
              </w:rPr>
              <w:t>一、中心机房增设设备预算清单</w:t>
            </w:r>
          </w:p>
        </w:tc>
      </w:tr>
      <w:tr w14:paraId="2E39DAE1">
        <w:tblPrEx>
          <w:tblCellMar>
            <w:top w:w="0" w:type="dxa"/>
            <w:left w:w="108" w:type="dxa"/>
            <w:bottom w:w="0" w:type="dxa"/>
            <w:right w:w="108" w:type="dxa"/>
          </w:tblCellMar>
        </w:tblPrEx>
        <w:trPr>
          <w:trHeight w:val="980" w:hRule="atLeast"/>
        </w:trPr>
        <w:tc>
          <w:tcPr>
            <w:tcW w:w="316" w:type="pct"/>
            <w:vMerge w:val="restart"/>
            <w:tcBorders>
              <w:top w:val="nil"/>
              <w:left w:val="single" w:color="auto" w:sz="4" w:space="0"/>
              <w:bottom w:val="single" w:color="auto" w:sz="4" w:space="0"/>
              <w:right w:val="single" w:color="auto" w:sz="4" w:space="0"/>
            </w:tcBorders>
            <w:shd w:val="clear" w:color="auto" w:fill="auto"/>
            <w:vAlign w:val="center"/>
          </w:tcPr>
          <w:p w14:paraId="2CF66AD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w:t>
            </w:r>
          </w:p>
        </w:tc>
        <w:tc>
          <w:tcPr>
            <w:tcW w:w="815" w:type="pct"/>
            <w:vMerge w:val="restart"/>
            <w:tcBorders>
              <w:top w:val="nil"/>
              <w:left w:val="single" w:color="auto" w:sz="4" w:space="0"/>
              <w:bottom w:val="single" w:color="auto" w:sz="4" w:space="0"/>
              <w:right w:val="single" w:color="auto" w:sz="4" w:space="0"/>
            </w:tcBorders>
            <w:shd w:val="clear" w:color="auto" w:fill="auto"/>
            <w:vAlign w:val="center"/>
          </w:tcPr>
          <w:p w14:paraId="1F841F8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国产信创服务器</w:t>
            </w:r>
          </w:p>
        </w:tc>
        <w:tc>
          <w:tcPr>
            <w:tcW w:w="3155" w:type="pct"/>
            <w:tcBorders>
              <w:top w:val="nil"/>
              <w:left w:val="nil"/>
              <w:bottom w:val="single" w:color="auto" w:sz="4" w:space="0"/>
              <w:right w:val="single" w:color="auto" w:sz="4" w:space="0"/>
            </w:tcBorders>
            <w:shd w:val="clear" w:color="auto" w:fill="auto"/>
            <w:vAlign w:val="center"/>
          </w:tcPr>
          <w:p w14:paraId="2FB4D42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1、处理器：支持1到2颗国产处理器，</w:t>
            </w:r>
            <w:r>
              <w:rPr>
                <w:rFonts w:hint="eastAsia" w:ascii="宋体" w:hAnsi="宋体" w:eastAsia="宋体" w:cs="宋体"/>
                <w:color w:val="000000"/>
                <w:kern w:val="0"/>
                <w:szCs w:val="21"/>
                <w:lang w:eastAsia="zh-CN"/>
                <w14:ligatures w14:val="none"/>
              </w:rPr>
              <w:t>整机</w:t>
            </w:r>
            <w:r>
              <w:rPr>
                <w:rFonts w:hint="eastAsia" w:ascii="宋体" w:hAnsi="宋体" w:eastAsia="宋体" w:cs="宋体"/>
                <w:color w:val="000000"/>
                <w:kern w:val="0"/>
                <w:szCs w:val="21"/>
                <w14:ligatures w14:val="none"/>
              </w:rPr>
              <w:t>最多支持32核CPU运行，本次配置1颗CPU，频率不低于2.2GHz。</w:t>
            </w:r>
          </w:p>
        </w:tc>
        <w:tc>
          <w:tcPr>
            <w:tcW w:w="394" w:type="pct"/>
            <w:vMerge w:val="restart"/>
            <w:tcBorders>
              <w:top w:val="nil"/>
              <w:left w:val="single" w:color="auto" w:sz="4" w:space="0"/>
              <w:bottom w:val="single" w:color="auto" w:sz="4" w:space="0"/>
              <w:right w:val="single" w:color="auto" w:sz="4" w:space="0"/>
            </w:tcBorders>
            <w:shd w:val="clear" w:color="auto" w:fill="auto"/>
            <w:vAlign w:val="center"/>
          </w:tcPr>
          <w:p w14:paraId="5FD2972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w:t>
            </w:r>
          </w:p>
        </w:tc>
        <w:tc>
          <w:tcPr>
            <w:tcW w:w="317" w:type="pct"/>
            <w:vMerge w:val="restart"/>
            <w:tcBorders>
              <w:top w:val="nil"/>
              <w:left w:val="single" w:color="auto" w:sz="4" w:space="0"/>
              <w:bottom w:val="single" w:color="auto" w:sz="4" w:space="0"/>
              <w:right w:val="single" w:color="auto" w:sz="4" w:space="0"/>
            </w:tcBorders>
            <w:shd w:val="clear" w:color="auto" w:fill="auto"/>
            <w:vAlign w:val="center"/>
          </w:tcPr>
          <w:p w14:paraId="2884C47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台</w:t>
            </w:r>
          </w:p>
        </w:tc>
      </w:tr>
      <w:tr w14:paraId="3C6317C1">
        <w:tblPrEx>
          <w:tblCellMar>
            <w:top w:w="0" w:type="dxa"/>
            <w:left w:w="108" w:type="dxa"/>
            <w:bottom w:w="0" w:type="dxa"/>
            <w:right w:w="108" w:type="dxa"/>
          </w:tblCellMar>
        </w:tblPrEx>
        <w:trPr>
          <w:trHeight w:val="980" w:hRule="atLeast"/>
        </w:trPr>
        <w:tc>
          <w:tcPr>
            <w:tcW w:w="316" w:type="pct"/>
            <w:vMerge w:val="continue"/>
            <w:tcBorders>
              <w:top w:val="nil"/>
              <w:left w:val="single" w:color="auto" w:sz="4" w:space="0"/>
              <w:bottom w:val="single" w:color="auto" w:sz="4" w:space="0"/>
              <w:right w:val="single" w:color="auto" w:sz="4" w:space="0"/>
            </w:tcBorders>
            <w:vAlign w:val="center"/>
          </w:tcPr>
          <w:p w14:paraId="6CD08F82">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1DF98DA">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431C202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2、内存：具备16个DDR4内存插槽，支持RDIMM、LRDIMM、至高支持2TB内存总容量支持，本次配置32GB内存。</w:t>
            </w:r>
          </w:p>
        </w:tc>
        <w:tc>
          <w:tcPr>
            <w:tcW w:w="394" w:type="pct"/>
            <w:vMerge w:val="continue"/>
            <w:tcBorders>
              <w:top w:val="nil"/>
              <w:left w:val="single" w:color="auto" w:sz="4" w:space="0"/>
              <w:bottom w:val="single" w:color="auto" w:sz="4" w:space="0"/>
              <w:right w:val="single" w:color="auto" w:sz="4" w:space="0"/>
            </w:tcBorders>
            <w:vAlign w:val="center"/>
          </w:tcPr>
          <w:p w14:paraId="6FD79556">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3EC365A">
            <w:pPr>
              <w:widowControl/>
              <w:jc w:val="left"/>
              <w:rPr>
                <w:rFonts w:ascii="宋体" w:hAnsi="宋体" w:eastAsia="宋体" w:cs="宋体"/>
                <w:color w:val="000000"/>
                <w:kern w:val="0"/>
                <w:szCs w:val="21"/>
                <w14:ligatures w14:val="none"/>
              </w:rPr>
            </w:pPr>
          </w:p>
        </w:tc>
      </w:tr>
      <w:tr w14:paraId="1044D6B8">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4D650C3F">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E401C17">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2126BD4B">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3、存储支持12块3.5/2.5英寸硬盘，本次硬盘配置大于等于4TB。</w:t>
            </w:r>
          </w:p>
        </w:tc>
        <w:tc>
          <w:tcPr>
            <w:tcW w:w="394" w:type="pct"/>
            <w:vMerge w:val="continue"/>
            <w:tcBorders>
              <w:top w:val="nil"/>
              <w:left w:val="single" w:color="auto" w:sz="4" w:space="0"/>
              <w:bottom w:val="single" w:color="auto" w:sz="4" w:space="0"/>
              <w:right w:val="single" w:color="auto" w:sz="4" w:space="0"/>
            </w:tcBorders>
            <w:vAlign w:val="center"/>
          </w:tcPr>
          <w:p w14:paraId="3EBAEA34">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4195B35A">
            <w:pPr>
              <w:widowControl/>
              <w:jc w:val="left"/>
              <w:rPr>
                <w:rFonts w:ascii="宋体" w:hAnsi="宋体" w:eastAsia="宋体" w:cs="宋体"/>
                <w:color w:val="000000"/>
                <w:kern w:val="0"/>
                <w:szCs w:val="21"/>
                <w14:ligatures w14:val="none"/>
              </w:rPr>
            </w:pPr>
          </w:p>
        </w:tc>
      </w:tr>
      <w:tr w14:paraId="3AE2D68E">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17FAD9A8">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5C99D0CA">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2C31B1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4、PCle扩展：至多支持5个标准PCle插槽</w:t>
            </w:r>
          </w:p>
        </w:tc>
        <w:tc>
          <w:tcPr>
            <w:tcW w:w="394" w:type="pct"/>
            <w:vMerge w:val="continue"/>
            <w:tcBorders>
              <w:top w:val="nil"/>
              <w:left w:val="single" w:color="auto" w:sz="4" w:space="0"/>
              <w:bottom w:val="single" w:color="auto" w:sz="4" w:space="0"/>
              <w:right w:val="single" w:color="auto" w:sz="4" w:space="0"/>
            </w:tcBorders>
            <w:vAlign w:val="center"/>
          </w:tcPr>
          <w:p w14:paraId="52C866CB">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6523A22">
            <w:pPr>
              <w:widowControl/>
              <w:jc w:val="left"/>
              <w:rPr>
                <w:rFonts w:ascii="宋体" w:hAnsi="宋体" w:eastAsia="宋体" w:cs="宋体"/>
                <w:color w:val="000000"/>
                <w:kern w:val="0"/>
                <w:szCs w:val="21"/>
                <w14:ligatures w14:val="none"/>
              </w:rPr>
            </w:pPr>
          </w:p>
        </w:tc>
      </w:tr>
      <w:tr w14:paraId="01B43135">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6BD62662">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D250EFD">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781535F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5、IO接口：4个USB接口，2个VGA接口，1个串口</w:t>
            </w:r>
          </w:p>
        </w:tc>
        <w:tc>
          <w:tcPr>
            <w:tcW w:w="394" w:type="pct"/>
            <w:vMerge w:val="continue"/>
            <w:tcBorders>
              <w:top w:val="nil"/>
              <w:left w:val="single" w:color="auto" w:sz="4" w:space="0"/>
              <w:bottom w:val="single" w:color="auto" w:sz="4" w:space="0"/>
              <w:right w:val="single" w:color="auto" w:sz="4" w:space="0"/>
            </w:tcBorders>
            <w:vAlign w:val="center"/>
          </w:tcPr>
          <w:p w14:paraId="36C28D8B">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D2FBDEE">
            <w:pPr>
              <w:widowControl/>
              <w:jc w:val="left"/>
              <w:rPr>
                <w:rFonts w:ascii="宋体" w:hAnsi="宋体" w:eastAsia="宋体" w:cs="宋体"/>
                <w:color w:val="000000"/>
                <w:kern w:val="0"/>
                <w:szCs w:val="21"/>
                <w14:ligatures w14:val="none"/>
              </w:rPr>
            </w:pPr>
          </w:p>
        </w:tc>
      </w:tr>
      <w:tr w14:paraId="79053181">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7359671D">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5811E330">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552574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6、网络：板载2个千兆网络接口，1个独立千兆管理专用以太网口</w:t>
            </w:r>
          </w:p>
        </w:tc>
        <w:tc>
          <w:tcPr>
            <w:tcW w:w="394" w:type="pct"/>
            <w:vMerge w:val="continue"/>
            <w:tcBorders>
              <w:top w:val="nil"/>
              <w:left w:val="single" w:color="auto" w:sz="4" w:space="0"/>
              <w:bottom w:val="single" w:color="auto" w:sz="4" w:space="0"/>
              <w:right w:val="single" w:color="auto" w:sz="4" w:space="0"/>
            </w:tcBorders>
            <w:vAlign w:val="center"/>
          </w:tcPr>
          <w:p w14:paraId="4CBB198A">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28E9AA85">
            <w:pPr>
              <w:widowControl/>
              <w:jc w:val="left"/>
              <w:rPr>
                <w:rFonts w:ascii="宋体" w:hAnsi="宋体" w:eastAsia="宋体" w:cs="宋体"/>
                <w:color w:val="000000"/>
                <w:kern w:val="0"/>
                <w:szCs w:val="21"/>
                <w14:ligatures w14:val="none"/>
              </w:rPr>
            </w:pPr>
          </w:p>
        </w:tc>
      </w:tr>
      <w:tr w14:paraId="30ACA36F">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2CF8DD21">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1CB07DC">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63898FB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7、RAID：支持RAID0、1、10、5、50、6、60，支持Cache电容保护，支持硬盘热插拔</w:t>
            </w:r>
          </w:p>
        </w:tc>
        <w:tc>
          <w:tcPr>
            <w:tcW w:w="394" w:type="pct"/>
            <w:vMerge w:val="continue"/>
            <w:tcBorders>
              <w:top w:val="nil"/>
              <w:left w:val="single" w:color="auto" w:sz="4" w:space="0"/>
              <w:bottom w:val="single" w:color="auto" w:sz="4" w:space="0"/>
              <w:right w:val="single" w:color="auto" w:sz="4" w:space="0"/>
            </w:tcBorders>
            <w:vAlign w:val="center"/>
          </w:tcPr>
          <w:p w14:paraId="36087E24">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06AA1D4A">
            <w:pPr>
              <w:widowControl/>
              <w:jc w:val="left"/>
              <w:rPr>
                <w:rFonts w:ascii="宋体" w:hAnsi="宋体" w:eastAsia="宋体" w:cs="宋体"/>
                <w:color w:val="000000"/>
                <w:kern w:val="0"/>
                <w:szCs w:val="21"/>
                <w14:ligatures w14:val="none"/>
              </w:rPr>
            </w:pPr>
          </w:p>
        </w:tc>
      </w:tr>
      <w:tr w14:paraId="472CAE1F">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7BBC2753">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FB8B739">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7091503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8、操作系统：支持UOS、银河麒麟等国产操作系统</w:t>
            </w:r>
          </w:p>
        </w:tc>
        <w:tc>
          <w:tcPr>
            <w:tcW w:w="394" w:type="pct"/>
            <w:vMerge w:val="continue"/>
            <w:tcBorders>
              <w:top w:val="nil"/>
              <w:left w:val="single" w:color="auto" w:sz="4" w:space="0"/>
              <w:bottom w:val="single" w:color="auto" w:sz="4" w:space="0"/>
              <w:right w:val="single" w:color="auto" w:sz="4" w:space="0"/>
            </w:tcBorders>
            <w:vAlign w:val="center"/>
          </w:tcPr>
          <w:p w14:paraId="4AF58EE4">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6551000">
            <w:pPr>
              <w:widowControl/>
              <w:jc w:val="left"/>
              <w:rPr>
                <w:rFonts w:ascii="宋体" w:hAnsi="宋体" w:eastAsia="宋体" w:cs="宋体"/>
                <w:color w:val="000000"/>
                <w:kern w:val="0"/>
                <w:szCs w:val="21"/>
                <w14:ligatures w14:val="none"/>
              </w:rPr>
            </w:pPr>
          </w:p>
        </w:tc>
      </w:tr>
      <w:tr w14:paraId="0039CCF5">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2ADDAC0A">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0059E02C">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BCB744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9、风扇：配置冗余热插拔风扇，支持N+1冗余</w:t>
            </w:r>
          </w:p>
        </w:tc>
        <w:tc>
          <w:tcPr>
            <w:tcW w:w="394" w:type="pct"/>
            <w:vMerge w:val="continue"/>
            <w:tcBorders>
              <w:top w:val="nil"/>
              <w:left w:val="single" w:color="auto" w:sz="4" w:space="0"/>
              <w:bottom w:val="single" w:color="auto" w:sz="4" w:space="0"/>
              <w:right w:val="single" w:color="auto" w:sz="4" w:space="0"/>
            </w:tcBorders>
            <w:vAlign w:val="center"/>
          </w:tcPr>
          <w:p w14:paraId="596727D3">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41D2E287">
            <w:pPr>
              <w:widowControl/>
              <w:jc w:val="left"/>
              <w:rPr>
                <w:rFonts w:ascii="宋体" w:hAnsi="宋体" w:eastAsia="宋体" w:cs="宋体"/>
                <w:color w:val="000000"/>
                <w:kern w:val="0"/>
                <w:szCs w:val="21"/>
                <w14:ligatures w14:val="none"/>
              </w:rPr>
            </w:pPr>
          </w:p>
        </w:tc>
      </w:tr>
      <w:tr w14:paraId="7ADFE7D2">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1E439F99">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DDFC5D0">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DAF221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10、电源：支持铂金电源，支持1+1冗余</w:t>
            </w:r>
          </w:p>
        </w:tc>
        <w:tc>
          <w:tcPr>
            <w:tcW w:w="394" w:type="pct"/>
            <w:vMerge w:val="continue"/>
            <w:tcBorders>
              <w:top w:val="nil"/>
              <w:left w:val="single" w:color="auto" w:sz="4" w:space="0"/>
              <w:bottom w:val="single" w:color="auto" w:sz="4" w:space="0"/>
              <w:right w:val="single" w:color="auto" w:sz="4" w:space="0"/>
            </w:tcBorders>
            <w:vAlign w:val="center"/>
          </w:tcPr>
          <w:p w14:paraId="610DD239">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51A5CAAF">
            <w:pPr>
              <w:widowControl/>
              <w:jc w:val="left"/>
              <w:rPr>
                <w:rFonts w:ascii="宋体" w:hAnsi="宋体" w:eastAsia="宋体" w:cs="宋体"/>
                <w:color w:val="000000"/>
                <w:kern w:val="0"/>
                <w:szCs w:val="21"/>
                <w14:ligatures w14:val="none"/>
              </w:rPr>
            </w:pPr>
          </w:p>
        </w:tc>
      </w:tr>
      <w:tr w14:paraId="1AD9BCEC">
        <w:tblPrEx>
          <w:tblCellMar>
            <w:top w:w="0" w:type="dxa"/>
            <w:left w:w="108" w:type="dxa"/>
            <w:bottom w:w="0" w:type="dxa"/>
            <w:right w:w="108" w:type="dxa"/>
          </w:tblCellMar>
        </w:tblPrEx>
        <w:trPr>
          <w:trHeight w:val="333" w:hRule="atLeast"/>
        </w:trPr>
        <w:tc>
          <w:tcPr>
            <w:tcW w:w="316" w:type="pct"/>
            <w:vMerge w:val="restart"/>
            <w:tcBorders>
              <w:top w:val="nil"/>
              <w:left w:val="single" w:color="auto" w:sz="4" w:space="0"/>
              <w:bottom w:val="single" w:color="auto" w:sz="4" w:space="0"/>
              <w:right w:val="single" w:color="auto" w:sz="4" w:space="0"/>
            </w:tcBorders>
            <w:shd w:val="clear" w:color="auto" w:fill="auto"/>
            <w:vAlign w:val="center"/>
          </w:tcPr>
          <w:p w14:paraId="7FF2366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w:t>
            </w:r>
          </w:p>
        </w:tc>
        <w:tc>
          <w:tcPr>
            <w:tcW w:w="815" w:type="pct"/>
            <w:vMerge w:val="restart"/>
            <w:tcBorders>
              <w:top w:val="nil"/>
              <w:left w:val="single" w:color="auto" w:sz="4" w:space="0"/>
              <w:bottom w:val="single" w:color="auto" w:sz="4" w:space="0"/>
              <w:right w:val="single" w:color="auto" w:sz="4" w:space="0"/>
            </w:tcBorders>
            <w:shd w:val="clear" w:color="auto" w:fill="auto"/>
            <w:vAlign w:val="center"/>
          </w:tcPr>
          <w:p w14:paraId="12DA6E0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千兆接入交换机</w:t>
            </w:r>
          </w:p>
        </w:tc>
        <w:tc>
          <w:tcPr>
            <w:tcW w:w="3155" w:type="pct"/>
            <w:tcBorders>
              <w:top w:val="nil"/>
              <w:left w:val="nil"/>
              <w:bottom w:val="single" w:color="auto" w:sz="4" w:space="0"/>
              <w:right w:val="single" w:color="auto" w:sz="4" w:space="0"/>
            </w:tcBorders>
            <w:shd w:val="clear" w:color="auto" w:fill="auto"/>
            <w:vAlign w:val="center"/>
          </w:tcPr>
          <w:p w14:paraId="02035F05">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w:t>
            </w:r>
            <w:r>
              <w:rPr>
                <w:rFonts w:ascii="Times New Roman" w:hAnsi="Times New Roman" w:eastAsia="宋体" w:cs="Times New Roman"/>
                <w:color w:val="000000"/>
                <w:kern w:val="0"/>
                <w:sz w:val="14"/>
                <w:szCs w:val="14"/>
                <w14:ligatures w14:val="none"/>
              </w:rPr>
              <w:t xml:space="preserve"> </w:t>
            </w:r>
            <w:r>
              <w:rPr>
                <w:rFonts w:hint="eastAsia" w:ascii="宋体" w:hAnsi="宋体" w:eastAsia="宋体" w:cs="宋体"/>
                <w:color w:val="000000"/>
                <w:kern w:val="0"/>
                <w:szCs w:val="21"/>
                <w14:ligatures w14:val="none"/>
              </w:rPr>
              <w:t>交换容量：336Gbps/3.36Tbps</w:t>
            </w:r>
          </w:p>
        </w:tc>
        <w:tc>
          <w:tcPr>
            <w:tcW w:w="394" w:type="pct"/>
            <w:vMerge w:val="restart"/>
            <w:tcBorders>
              <w:top w:val="nil"/>
              <w:left w:val="single" w:color="auto" w:sz="4" w:space="0"/>
              <w:bottom w:val="single" w:color="auto" w:sz="4" w:space="0"/>
              <w:right w:val="single" w:color="auto" w:sz="4" w:space="0"/>
            </w:tcBorders>
            <w:shd w:val="clear" w:color="auto" w:fill="auto"/>
            <w:vAlign w:val="center"/>
          </w:tcPr>
          <w:p w14:paraId="11A526F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w:t>
            </w:r>
          </w:p>
        </w:tc>
        <w:tc>
          <w:tcPr>
            <w:tcW w:w="317" w:type="pct"/>
            <w:vMerge w:val="restart"/>
            <w:tcBorders>
              <w:top w:val="nil"/>
              <w:left w:val="single" w:color="auto" w:sz="4" w:space="0"/>
              <w:bottom w:val="single" w:color="auto" w:sz="4" w:space="0"/>
              <w:right w:val="single" w:color="auto" w:sz="4" w:space="0"/>
            </w:tcBorders>
            <w:shd w:val="clear" w:color="auto" w:fill="auto"/>
            <w:vAlign w:val="center"/>
          </w:tcPr>
          <w:p w14:paraId="2F82493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台</w:t>
            </w:r>
          </w:p>
        </w:tc>
      </w:tr>
      <w:tr w14:paraId="6869C574">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198104EA">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A2B5336">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5D1D7CBA">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w:t>
            </w:r>
            <w:r>
              <w:rPr>
                <w:rFonts w:ascii="Times New Roman" w:hAnsi="Times New Roman" w:eastAsia="宋体" w:cs="Times New Roman"/>
                <w:color w:val="000000"/>
                <w:kern w:val="0"/>
                <w:sz w:val="14"/>
                <w:szCs w:val="14"/>
                <w14:ligatures w14:val="none"/>
              </w:rPr>
              <w:t xml:space="preserve"> </w:t>
            </w:r>
            <w:r>
              <w:rPr>
                <w:rFonts w:hint="eastAsia" w:ascii="宋体" w:hAnsi="宋体" w:eastAsia="宋体" w:cs="宋体"/>
                <w:color w:val="000000"/>
                <w:kern w:val="0"/>
                <w:szCs w:val="21"/>
                <w14:ligatures w14:val="none"/>
              </w:rPr>
              <w:t>包转发率：108Mpps/126Mpps</w:t>
            </w:r>
          </w:p>
        </w:tc>
        <w:tc>
          <w:tcPr>
            <w:tcW w:w="394" w:type="pct"/>
            <w:vMerge w:val="continue"/>
            <w:tcBorders>
              <w:top w:val="nil"/>
              <w:left w:val="single" w:color="auto" w:sz="4" w:space="0"/>
              <w:bottom w:val="single" w:color="auto" w:sz="4" w:space="0"/>
              <w:right w:val="single" w:color="auto" w:sz="4" w:space="0"/>
            </w:tcBorders>
            <w:vAlign w:val="center"/>
          </w:tcPr>
          <w:p w14:paraId="46274057">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51961631">
            <w:pPr>
              <w:widowControl/>
              <w:jc w:val="left"/>
              <w:rPr>
                <w:rFonts w:ascii="宋体" w:hAnsi="宋体" w:eastAsia="宋体" w:cs="宋体"/>
                <w:color w:val="000000"/>
                <w:kern w:val="0"/>
                <w:szCs w:val="21"/>
                <w14:ligatures w14:val="none"/>
              </w:rPr>
            </w:pPr>
          </w:p>
        </w:tc>
      </w:tr>
      <w:tr w14:paraId="25ED3B10">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2B5A7EED">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1B044CD0">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1C7AF89F">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w:t>
            </w:r>
            <w:r>
              <w:rPr>
                <w:rFonts w:ascii="Times New Roman" w:hAnsi="Times New Roman" w:eastAsia="宋体" w:cs="Times New Roman"/>
                <w:color w:val="000000"/>
                <w:kern w:val="0"/>
                <w:sz w:val="14"/>
                <w:szCs w:val="14"/>
                <w14:ligatures w14:val="none"/>
              </w:rPr>
              <w:t xml:space="preserve"> </w:t>
            </w:r>
            <w:r>
              <w:rPr>
                <w:rFonts w:hint="eastAsia" w:ascii="宋体" w:hAnsi="宋体" w:eastAsia="宋体" w:cs="宋体"/>
                <w:color w:val="000000"/>
                <w:kern w:val="0"/>
                <w:szCs w:val="21"/>
                <w14:ligatures w14:val="none"/>
              </w:rPr>
              <w:t xml:space="preserve">固定接口：24个10/100/1000Base-T以太网端口，4个万兆SFP+  </w:t>
            </w:r>
          </w:p>
        </w:tc>
        <w:tc>
          <w:tcPr>
            <w:tcW w:w="394" w:type="pct"/>
            <w:vMerge w:val="continue"/>
            <w:tcBorders>
              <w:top w:val="nil"/>
              <w:left w:val="single" w:color="auto" w:sz="4" w:space="0"/>
              <w:bottom w:val="single" w:color="auto" w:sz="4" w:space="0"/>
              <w:right w:val="single" w:color="auto" w:sz="4" w:space="0"/>
            </w:tcBorders>
            <w:vAlign w:val="center"/>
          </w:tcPr>
          <w:p w14:paraId="2C42974F">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5033C9C1">
            <w:pPr>
              <w:widowControl/>
              <w:jc w:val="left"/>
              <w:rPr>
                <w:rFonts w:ascii="宋体" w:hAnsi="宋体" w:eastAsia="宋体" w:cs="宋体"/>
                <w:color w:val="000000"/>
                <w:kern w:val="0"/>
                <w:szCs w:val="21"/>
                <w14:ligatures w14:val="none"/>
              </w:rPr>
            </w:pPr>
          </w:p>
        </w:tc>
      </w:tr>
      <w:tr w14:paraId="25A9B30D">
        <w:tblPrEx>
          <w:tblCellMar>
            <w:top w:w="0" w:type="dxa"/>
            <w:left w:w="108" w:type="dxa"/>
            <w:bottom w:w="0" w:type="dxa"/>
            <w:right w:w="108" w:type="dxa"/>
          </w:tblCellMar>
        </w:tblPrEx>
        <w:trPr>
          <w:trHeight w:val="333" w:hRule="atLeast"/>
        </w:trPr>
        <w:tc>
          <w:tcPr>
            <w:tcW w:w="316" w:type="pct"/>
            <w:tcBorders>
              <w:top w:val="nil"/>
              <w:left w:val="single" w:color="auto" w:sz="4" w:space="0"/>
              <w:bottom w:val="single" w:color="auto" w:sz="4" w:space="0"/>
              <w:right w:val="single" w:color="auto" w:sz="4" w:space="0"/>
            </w:tcBorders>
            <w:shd w:val="clear" w:color="auto" w:fill="auto"/>
            <w:vAlign w:val="center"/>
          </w:tcPr>
          <w:p w14:paraId="2D0EF329">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3</w:t>
            </w:r>
          </w:p>
        </w:tc>
        <w:tc>
          <w:tcPr>
            <w:tcW w:w="815" w:type="pct"/>
            <w:tcBorders>
              <w:top w:val="nil"/>
              <w:left w:val="nil"/>
              <w:bottom w:val="single" w:color="auto" w:sz="4" w:space="0"/>
              <w:right w:val="single" w:color="auto" w:sz="4" w:space="0"/>
            </w:tcBorders>
            <w:shd w:val="clear" w:color="auto" w:fill="auto"/>
            <w:vAlign w:val="center"/>
          </w:tcPr>
          <w:p w14:paraId="7F48377A">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3155" w:type="pct"/>
            <w:tcBorders>
              <w:top w:val="nil"/>
              <w:left w:val="nil"/>
              <w:bottom w:val="single" w:color="auto" w:sz="4" w:space="0"/>
              <w:right w:val="single" w:color="auto" w:sz="4" w:space="0"/>
            </w:tcBorders>
            <w:shd w:val="clear" w:color="auto" w:fill="auto"/>
            <w:vAlign w:val="center"/>
          </w:tcPr>
          <w:p w14:paraId="5257199D">
            <w:pPr>
              <w:widowControl/>
              <w:jc w:val="left"/>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c>
          <w:tcPr>
            <w:tcW w:w="394" w:type="pct"/>
            <w:tcBorders>
              <w:top w:val="nil"/>
              <w:left w:val="nil"/>
              <w:bottom w:val="single" w:color="auto" w:sz="4" w:space="0"/>
              <w:right w:val="single" w:color="auto" w:sz="4" w:space="0"/>
            </w:tcBorders>
            <w:shd w:val="clear" w:color="auto" w:fill="auto"/>
            <w:vAlign w:val="center"/>
          </w:tcPr>
          <w:p w14:paraId="24344F4B">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c>
          <w:tcPr>
            <w:tcW w:w="317" w:type="pct"/>
            <w:tcBorders>
              <w:top w:val="nil"/>
              <w:left w:val="nil"/>
              <w:bottom w:val="single" w:color="auto" w:sz="4" w:space="0"/>
              <w:right w:val="single" w:color="auto" w:sz="4" w:space="0"/>
            </w:tcBorders>
            <w:shd w:val="clear" w:color="auto" w:fill="auto"/>
            <w:vAlign w:val="center"/>
          </w:tcPr>
          <w:p w14:paraId="41211442">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07A79169">
        <w:tblPrEx>
          <w:tblCellMar>
            <w:top w:w="0" w:type="dxa"/>
            <w:left w:w="108" w:type="dxa"/>
            <w:bottom w:w="0" w:type="dxa"/>
            <w:right w:w="108" w:type="dxa"/>
          </w:tblCellMar>
        </w:tblPrEx>
        <w:trPr>
          <w:trHeight w:val="333" w:hRule="atLeast"/>
        </w:trPr>
        <w:tc>
          <w:tcPr>
            <w:tcW w:w="5000" w:type="pct"/>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6A351EDF">
            <w:pPr>
              <w:widowControl/>
              <w:jc w:val="center"/>
              <w:rPr>
                <w:rFonts w:ascii="宋体" w:hAnsi="宋体" w:eastAsia="宋体" w:cs="宋体"/>
                <w:b/>
                <w:bCs/>
                <w:color w:val="000000"/>
                <w:kern w:val="0"/>
                <w:sz w:val="24"/>
                <w:szCs w:val="24"/>
                <w14:ligatures w14:val="none"/>
              </w:rPr>
            </w:pPr>
            <w:r>
              <w:rPr>
                <w:rFonts w:hint="eastAsia" w:ascii="宋体" w:hAnsi="宋体" w:eastAsia="宋体" w:cs="宋体"/>
                <w:b/>
                <w:bCs/>
                <w:color w:val="000000"/>
                <w:kern w:val="0"/>
                <w:sz w:val="24"/>
                <w:szCs w:val="24"/>
                <w14:ligatures w14:val="none"/>
              </w:rPr>
              <w:t>二、资产管理系统设备预算清单</w:t>
            </w:r>
          </w:p>
        </w:tc>
      </w:tr>
      <w:tr w14:paraId="6A56F777">
        <w:tblPrEx>
          <w:tblCellMar>
            <w:top w:w="0" w:type="dxa"/>
            <w:left w:w="108" w:type="dxa"/>
            <w:bottom w:w="0" w:type="dxa"/>
            <w:right w:w="108" w:type="dxa"/>
          </w:tblCellMar>
        </w:tblPrEx>
        <w:trPr>
          <w:trHeight w:val="333" w:hRule="atLeast"/>
        </w:trPr>
        <w:tc>
          <w:tcPr>
            <w:tcW w:w="316" w:type="pct"/>
            <w:vMerge w:val="restart"/>
            <w:tcBorders>
              <w:top w:val="nil"/>
              <w:left w:val="single" w:color="auto" w:sz="4" w:space="0"/>
              <w:bottom w:val="single" w:color="auto" w:sz="4" w:space="0"/>
              <w:right w:val="single" w:color="auto" w:sz="4" w:space="0"/>
            </w:tcBorders>
            <w:shd w:val="clear" w:color="auto" w:fill="auto"/>
            <w:vAlign w:val="center"/>
          </w:tcPr>
          <w:p w14:paraId="56F3624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w:t>
            </w:r>
          </w:p>
        </w:tc>
        <w:tc>
          <w:tcPr>
            <w:tcW w:w="815" w:type="pct"/>
            <w:vMerge w:val="restart"/>
            <w:tcBorders>
              <w:top w:val="nil"/>
              <w:left w:val="single" w:color="auto" w:sz="4" w:space="0"/>
              <w:bottom w:val="single" w:color="auto" w:sz="4" w:space="0"/>
              <w:right w:val="single" w:color="auto" w:sz="4" w:space="0"/>
            </w:tcBorders>
            <w:shd w:val="clear" w:color="auto" w:fill="auto"/>
            <w:vAlign w:val="center"/>
          </w:tcPr>
          <w:p w14:paraId="57AA93A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RFID标签打印机</w:t>
            </w:r>
          </w:p>
        </w:tc>
        <w:tc>
          <w:tcPr>
            <w:tcW w:w="3155" w:type="pct"/>
            <w:tcBorders>
              <w:top w:val="nil"/>
              <w:left w:val="nil"/>
              <w:bottom w:val="single" w:color="auto" w:sz="4" w:space="0"/>
              <w:right w:val="single" w:color="auto" w:sz="4" w:space="0"/>
            </w:tcBorders>
            <w:shd w:val="clear" w:color="auto" w:fill="auto"/>
            <w:vAlign w:val="center"/>
          </w:tcPr>
          <w:p w14:paraId="12411AE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1、打印分辨率：300 dpi/每毫米 12 点</w:t>
            </w:r>
          </w:p>
        </w:tc>
        <w:tc>
          <w:tcPr>
            <w:tcW w:w="394" w:type="pct"/>
            <w:vMerge w:val="restart"/>
            <w:tcBorders>
              <w:top w:val="nil"/>
              <w:left w:val="single" w:color="auto" w:sz="4" w:space="0"/>
              <w:bottom w:val="single" w:color="auto" w:sz="4" w:space="0"/>
              <w:right w:val="single" w:color="auto" w:sz="4" w:space="0"/>
            </w:tcBorders>
            <w:shd w:val="clear" w:color="auto" w:fill="auto"/>
            <w:vAlign w:val="center"/>
          </w:tcPr>
          <w:p w14:paraId="4915691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w:t>
            </w:r>
          </w:p>
        </w:tc>
        <w:tc>
          <w:tcPr>
            <w:tcW w:w="317" w:type="pct"/>
            <w:vMerge w:val="restart"/>
            <w:tcBorders>
              <w:top w:val="nil"/>
              <w:left w:val="single" w:color="auto" w:sz="4" w:space="0"/>
              <w:bottom w:val="single" w:color="auto" w:sz="4" w:space="0"/>
              <w:right w:val="single" w:color="auto" w:sz="4" w:space="0"/>
            </w:tcBorders>
            <w:shd w:val="clear" w:color="auto" w:fill="auto"/>
            <w:vAlign w:val="center"/>
          </w:tcPr>
          <w:p w14:paraId="626A219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台</w:t>
            </w:r>
          </w:p>
        </w:tc>
      </w:tr>
      <w:tr w14:paraId="2F254AE4">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6C7D96CB">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269825D2">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797294F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2、内存：256 MB SDRAM 内存；512 MB 板载线性闪存</w:t>
            </w:r>
          </w:p>
        </w:tc>
        <w:tc>
          <w:tcPr>
            <w:tcW w:w="394" w:type="pct"/>
            <w:vMerge w:val="continue"/>
            <w:tcBorders>
              <w:top w:val="nil"/>
              <w:left w:val="single" w:color="auto" w:sz="4" w:space="0"/>
              <w:bottom w:val="single" w:color="auto" w:sz="4" w:space="0"/>
              <w:right w:val="single" w:color="auto" w:sz="4" w:space="0"/>
            </w:tcBorders>
            <w:vAlign w:val="center"/>
          </w:tcPr>
          <w:p w14:paraId="3287C84A">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6B1F8085">
            <w:pPr>
              <w:widowControl/>
              <w:jc w:val="left"/>
              <w:rPr>
                <w:rFonts w:ascii="宋体" w:hAnsi="宋体" w:eastAsia="宋体" w:cs="宋体"/>
                <w:color w:val="000000"/>
                <w:kern w:val="0"/>
                <w:szCs w:val="21"/>
                <w14:ligatures w14:val="none"/>
              </w:rPr>
            </w:pPr>
          </w:p>
        </w:tc>
      </w:tr>
      <w:tr w14:paraId="17E80A5E">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7DBC8D0A">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5380B302">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33D2B1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3、最大打印宽度4.09 英寸/104 毫米</w:t>
            </w:r>
          </w:p>
        </w:tc>
        <w:tc>
          <w:tcPr>
            <w:tcW w:w="394" w:type="pct"/>
            <w:vMerge w:val="continue"/>
            <w:tcBorders>
              <w:top w:val="nil"/>
              <w:left w:val="single" w:color="auto" w:sz="4" w:space="0"/>
              <w:bottom w:val="single" w:color="auto" w:sz="4" w:space="0"/>
              <w:right w:val="single" w:color="auto" w:sz="4" w:space="0"/>
            </w:tcBorders>
            <w:vAlign w:val="center"/>
          </w:tcPr>
          <w:p w14:paraId="071285D8">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2329C1DB">
            <w:pPr>
              <w:widowControl/>
              <w:jc w:val="left"/>
              <w:rPr>
                <w:rFonts w:ascii="宋体" w:hAnsi="宋体" w:eastAsia="宋体" w:cs="宋体"/>
                <w:color w:val="000000"/>
                <w:kern w:val="0"/>
                <w:szCs w:val="21"/>
                <w14:ligatures w14:val="none"/>
              </w:rPr>
            </w:pPr>
          </w:p>
        </w:tc>
      </w:tr>
      <w:tr w14:paraId="5BDE85CB">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61F8642B">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ED8BAB2">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03727DF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4、最高打印速度：14 ips/每秒 356 毫米。</w:t>
            </w:r>
          </w:p>
        </w:tc>
        <w:tc>
          <w:tcPr>
            <w:tcW w:w="394" w:type="pct"/>
            <w:vMerge w:val="continue"/>
            <w:tcBorders>
              <w:top w:val="nil"/>
              <w:left w:val="single" w:color="auto" w:sz="4" w:space="0"/>
              <w:bottom w:val="single" w:color="auto" w:sz="4" w:space="0"/>
              <w:right w:val="single" w:color="auto" w:sz="4" w:space="0"/>
            </w:tcBorders>
            <w:vAlign w:val="center"/>
          </w:tcPr>
          <w:p w14:paraId="4719141D">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B099E98">
            <w:pPr>
              <w:widowControl/>
              <w:jc w:val="left"/>
              <w:rPr>
                <w:rFonts w:ascii="宋体" w:hAnsi="宋体" w:eastAsia="宋体" w:cs="宋体"/>
                <w:color w:val="000000"/>
                <w:kern w:val="0"/>
                <w:szCs w:val="21"/>
                <w14:ligatures w14:val="none"/>
              </w:rPr>
            </w:pPr>
          </w:p>
        </w:tc>
      </w:tr>
      <w:tr w14:paraId="58279507">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3AE0AE53">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1C5CBDA">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C983DB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5、打印长度：73 英寸/1854 毫米</w:t>
            </w:r>
          </w:p>
        </w:tc>
        <w:tc>
          <w:tcPr>
            <w:tcW w:w="394" w:type="pct"/>
            <w:vMerge w:val="continue"/>
            <w:tcBorders>
              <w:top w:val="nil"/>
              <w:left w:val="single" w:color="auto" w:sz="4" w:space="0"/>
              <w:bottom w:val="single" w:color="auto" w:sz="4" w:space="0"/>
              <w:right w:val="single" w:color="auto" w:sz="4" w:space="0"/>
            </w:tcBorders>
            <w:vAlign w:val="center"/>
          </w:tcPr>
          <w:p w14:paraId="3A4E5CA4">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4C22C0F">
            <w:pPr>
              <w:widowControl/>
              <w:jc w:val="left"/>
              <w:rPr>
                <w:rFonts w:ascii="宋体" w:hAnsi="宋体" w:eastAsia="宋体" w:cs="宋体"/>
                <w:color w:val="000000"/>
                <w:kern w:val="0"/>
                <w:szCs w:val="21"/>
                <w14:ligatures w14:val="none"/>
              </w:rPr>
            </w:pPr>
          </w:p>
        </w:tc>
      </w:tr>
      <w:tr w14:paraId="08FB9CF5">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26499D4E">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1B45D2A1">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744C60F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6、介质传感器：采用投射式和反射式可调双介质传感器</w:t>
            </w:r>
          </w:p>
        </w:tc>
        <w:tc>
          <w:tcPr>
            <w:tcW w:w="394" w:type="pct"/>
            <w:vMerge w:val="continue"/>
            <w:tcBorders>
              <w:top w:val="nil"/>
              <w:left w:val="single" w:color="auto" w:sz="4" w:space="0"/>
              <w:bottom w:val="single" w:color="auto" w:sz="4" w:space="0"/>
              <w:right w:val="single" w:color="auto" w:sz="4" w:space="0"/>
            </w:tcBorders>
            <w:vAlign w:val="center"/>
          </w:tcPr>
          <w:p w14:paraId="05FDBE6D">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4C17C46">
            <w:pPr>
              <w:widowControl/>
              <w:jc w:val="left"/>
              <w:rPr>
                <w:rFonts w:ascii="宋体" w:hAnsi="宋体" w:eastAsia="宋体" w:cs="宋体"/>
                <w:color w:val="000000"/>
                <w:kern w:val="0"/>
                <w:szCs w:val="21"/>
                <w14:ligatures w14:val="none"/>
              </w:rPr>
            </w:pPr>
          </w:p>
        </w:tc>
      </w:tr>
      <w:tr w14:paraId="78650E7B">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26695352">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4A1E62B">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19A075C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7、最大介质宽度：1.00 英寸/25.4 毫米至 4.5 英寸/114 毫米（撕纸/切纸器</w:t>
            </w:r>
          </w:p>
        </w:tc>
        <w:tc>
          <w:tcPr>
            <w:tcW w:w="394" w:type="pct"/>
            <w:vMerge w:val="continue"/>
            <w:tcBorders>
              <w:top w:val="nil"/>
              <w:left w:val="single" w:color="auto" w:sz="4" w:space="0"/>
              <w:bottom w:val="single" w:color="auto" w:sz="4" w:space="0"/>
              <w:right w:val="single" w:color="auto" w:sz="4" w:space="0"/>
            </w:tcBorders>
            <w:vAlign w:val="center"/>
          </w:tcPr>
          <w:p w14:paraId="6F5B0EBD">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30FCC31">
            <w:pPr>
              <w:widowControl/>
              <w:jc w:val="left"/>
              <w:rPr>
                <w:rFonts w:ascii="宋体" w:hAnsi="宋体" w:eastAsia="宋体" w:cs="宋体"/>
                <w:color w:val="000000"/>
                <w:kern w:val="0"/>
                <w:szCs w:val="21"/>
                <w14:ligatures w14:val="none"/>
              </w:rPr>
            </w:pPr>
          </w:p>
        </w:tc>
      </w:tr>
      <w:tr w14:paraId="415E6BFA">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570CF4C9">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B6F5A58">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79FAEC4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8、最大介质卷尺寸：在 3 英寸/76 毫内径的卷芯上的外径为 8.0 英寸/203 毫米</w:t>
            </w:r>
          </w:p>
        </w:tc>
        <w:tc>
          <w:tcPr>
            <w:tcW w:w="394" w:type="pct"/>
            <w:vMerge w:val="continue"/>
            <w:tcBorders>
              <w:top w:val="nil"/>
              <w:left w:val="single" w:color="auto" w:sz="4" w:space="0"/>
              <w:bottom w:val="single" w:color="auto" w:sz="4" w:space="0"/>
              <w:right w:val="single" w:color="auto" w:sz="4" w:space="0"/>
            </w:tcBorders>
            <w:vAlign w:val="center"/>
          </w:tcPr>
          <w:p w14:paraId="43E75D3F">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528CECEE">
            <w:pPr>
              <w:widowControl/>
              <w:jc w:val="left"/>
              <w:rPr>
                <w:rFonts w:ascii="宋体" w:hAnsi="宋体" w:eastAsia="宋体" w:cs="宋体"/>
                <w:color w:val="000000"/>
                <w:kern w:val="0"/>
                <w:szCs w:val="21"/>
                <w14:ligatures w14:val="none"/>
              </w:rPr>
            </w:pPr>
          </w:p>
        </w:tc>
      </w:tr>
      <w:tr w14:paraId="051ED6C6">
        <w:tblPrEx>
          <w:tblCellMar>
            <w:top w:w="0" w:type="dxa"/>
            <w:left w:w="108" w:type="dxa"/>
            <w:bottom w:w="0" w:type="dxa"/>
            <w:right w:w="108" w:type="dxa"/>
          </w:tblCellMar>
        </w:tblPrEx>
        <w:trPr>
          <w:trHeight w:val="980" w:hRule="atLeast"/>
        </w:trPr>
        <w:tc>
          <w:tcPr>
            <w:tcW w:w="316" w:type="pct"/>
            <w:vMerge w:val="continue"/>
            <w:tcBorders>
              <w:top w:val="nil"/>
              <w:left w:val="single" w:color="auto" w:sz="4" w:space="0"/>
              <w:bottom w:val="single" w:color="auto" w:sz="4" w:space="0"/>
              <w:right w:val="single" w:color="auto" w:sz="4" w:space="0"/>
            </w:tcBorders>
            <w:vAlign w:val="center"/>
          </w:tcPr>
          <w:p w14:paraId="708FA005">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54B4BFE1">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50D67306">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9、RFID：支持与以下协议兼容的标签：UHF EPC Gen 2 V2、ISO/IEC 18000-63 以及 RAIN RFID 协议；</w:t>
            </w:r>
          </w:p>
        </w:tc>
        <w:tc>
          <w:tcPr>
            <w:tcW w:w="394" w:type="pct"/>
            <w:vMerge w:val="continue"/>
            <w:tcBorders>
              <w:top w:val="nil"/>
              <w:left w:val="single" w:color="auto" w:sz="4" w:space="0"/>
              <w:bottom w:val="single" w:color="auto" w:sz="4" w:space="0"/>
              <w:right w:val="single" w:color="auto" w:sz="4" w:space="0"/>
            </w:tcBorders>
            <w:vAlign w:val="center"/>
          </w:tcPr>
          <w:p w14:paraId="3E8A6B65">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0A9A0B5A">
            <w:pPr>
              <w:widowControl/>
              <w:jc w:val="left"/>
              <w:rPr>
                <w:rFonts w:ascii="宋体" w:hAnsi="宋体" w:eastAsia="宋体" w:cs="宋体"/>
                <w:color w:val="000000"/>
                <w:kern w:val="0"/>
                <w:szCs w:val="21"/>
                <w14:ligatures w14:val="none"/>
              </w:rPr>
            </w:pPr>
          </w:p>
        </w:tc>
      </w:tr>
      <w:tr w14:paraId="4220C799">
        <w:tblPrEx>
          <w:tblCellMar>
            <w:top w:w="0" w:type="dxa"/>
            <w:left w:w="108" w:type="dxa"/>
            <w:bottom w:w="0" w:type="dxa"/>
            <w:right w:w="108" w:type="dxa"/>
          </w:tblCellMar>
        </w:tblPrEx>
        <w:trPr>
          <w:trHeight w:val="1303" w:hRule="atLeast"/>
        </w:trPr>
        <w:tc>
          <w:tcPr>
            <w:tcW w:w="316" w:type="pct"/>
            <w:vMerge w:val="restart"/>
            <w:tcBorders>
              <w:top w:val="nil"/>
              <w:left w:val="single" w:color="auto" w:sz="4" w:space="0"/>
              <w:bottom w:val="single" w:color="auto" w:sz="4" w:space="0"/>
              <w:right w:val="single" w:color="auto" w:sz="4" w:space="0"/>
            </w:tcBorders>
            <w:shd w:val="clear" w:color="auto" w:fill="auto"/>
            <w:vAlign w:val="center"/>
          </w:tcPr>
          <w:p w14:paraId="0F82046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w:t>
            </w:r>
          </w:p>
        </w:tc>
        <w:tc>
          <w:tcPr>
            <w:tcW w:w="815" w:type="pct"/>
            <w:vMerge w:val="restart"/>
            <w:tcBorders>
              <w:top w:val="nil"/>
              <w:left w:val="single" w:color="auto" w:sz="4" w:space="0"/>
              <w:bottom w:val="single" w:color="auto" w:sz="4" w:space="0"/>
              <w:right w:val="single" w:color="auto" w:sz="4" w:space="0"/>
            </w:tcBorders>
            <w:shd w:val="clear" w:color="auto" w:fill="auto"/>
            <w:vAlign w:val="center"/>
          </w:tcPr>
          <w:p w14:paraId="3829D5B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RFID手持终端</w:t>
            </w:r>
          </w:p>
        </w:tc>
        <w:tc>
          <w:tcPr>
            <w:tcW w:w="3155" w:type="pct"/>
            <w:tcBorders>
              <w:top w:val="nil"/>
              <w:left w:val="nil"/>
              <w:bottom w:val="single" w:color="auto" w:sz="4" w:space="0"/>
              <w:right w:val="single" w:color="auto" w:sz="4" w:space="0"/>
            </w:tcBorders>
            <w:shd w:val="clear" w:color="auto" w:fill="auto"/>
            <w:vAlign w:val="center"/>
          </w:tcPr>
          <w:p w14:paraId="2B103B3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1、高速八核处理器、大内存储存：该设备采用Android10.0系统，高速八核处理器方案，四大核Cortex-A73+四小核Cortex-A53，以及配备2+16G内存组合。</w:t>
            </w:r>
          </w:p>
        </w:tc>
        <w:tc>
          <w:tcPr>
            <w:tcW w:w="394" w:type="pct"/>
            <w:vMerge w:val="restart"/>
            <w:tcBorders>
              <w:top w:val="nil"/>
              <w:left w:val="single" w:color="auto" w:sz="4" w:space="0"/>
              <w:bottom w:val="single" w:color="auto" w:sz="4" w:space="0"/>
              <w:right w:val="single" w:color="auto" w:sz="4" w:space="0"/>
            </w:tcBorders>
            <w:shd w:val="clear" w:color="auto" w:fill="auto"/>
            <w:vAlign w:val="center"/>
          </w:tcPr>
          <w:p w14:paraId="525276A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w:t>
            </w:r>
          </w:p>
        </w:tc>
        <w:tc>
          <w:tcPr>
            <w:tcW w:w="317" w:type="pct"/>
            <w:vMerge w:val="restart"/>
            <w:tcBorders>
              <w:top w:val="nil"/>
              <w:left w:val="single" w:color="auto" w:sz="4" w:space="0"/>
              <w:bottom w:val="single" w:color="auto" w:sz="4" w:space="0"/>
              <w:right w:val="single" w:color="auto" w:sz="4" w:space="0"/>
            </w:tcBorders>
            <w:shd w:val="clear" w:color="auto" w:fill="auto"/>
            <w:vAlign w:val="center"/>
          </w:tcPr>
          <w:p w14:paraId="4C3191A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台</w:t>
            </w:r>
          </w:p>
        </w:tc>
      </w:tr>
      <w:tr w14:paraId="5533FFA5">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74CBF9BC">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174353F4">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1D95188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2、扩展内存：支持256GB T卡</w:t>
            </w:r>
          </w:p>
        </w:tc>
        <w:tc>
          <w:tcPr>
            <w:tcW w:w="394" w:type="pct"/>
            <w:vMerge w:val="continue"/>
            <w:tcBorders>
              <w:top w:val="nil"/>
              <w:left w:val="single" w:color="auto" w:sz="4" w:space="0"/>
              <w:bottom w:val="single" w:color="auto" w:sz="4" w:space="0"/>
              <w:right w:val="single" w:color="auto" w:sz="4" w:space="0"/>
            </w:tcBorders>
            <w:vAlign w:val="center"/>
          </w:tcPr>
          <w:p w14:paraId="5F0227AA">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2A3D660">
            <w:pPr>
              <w:widowControl/>
              <w:jc w:val="left"/>
              <w:rPr>
                <w:rFonts w:ascii="宋体" w:hAnsi="宋体" w:eastAsia="宋体" w:cs="宋体"/>
                <w:color w:val="000000"/>
                <w:kern w:val="0"/>
                <w:szCs w:val="21"/>
                <w14:ligatures w14:val="none"/>
              </w:rPr>
            </w:pPr>
          </w:p>
        </w:tc>
      </w:tr>
      <w:tr w14:paraId="0E238B82">
        <w:tblPrEx>
          <w:tblCellMar>
            <w:top w:w="0" w:type="dxa"/>
            <w:left w:w="108" w:type="dxa"/>
            <w:bottom w:w="0" w:type="dxa"/>
            <w:right w:w="108" w:type="dxa"/>
          </w:tblCellMar>
        </w:tblPrEx>
        <w:trPr>
          <w:trHeight w:val="1303" w:hRule="atLeast"/>
        </w:trPr>
        <w:tc>
          <w:tcPr>
            <w:tcW w:w="316" w:type="pct"/>
            <w:vMerge w:val="continue"/>
            <w:tcBorders>
              <w:top w:val="nil"/>
              <w:left w:val="single" w:color="auto" w:sz="4" w:space="0"/>
              <w:bottom w:val="single" w:color="auto" w:sz="4" w:space="0"/>
              <w:right w:val="single" w:color="auto" w:sz="4" w:space="0"/>
            </w:tcBorders>
            <w:vAlign w:val="center"/>
          </w:tcPr>
          <w:p w14:paraId="0B83F3F2">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5CE24188">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59832970">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3、数据通讯：运营商网络4G、3G、2G；WiFi：2.4G/5G双频，符合IEEE802.11a/b/g/n/ac，支持WiFi漫游功能（无缝切换）；Bluetooth：符合Bluetooth 4.2</w:t>
            </w:r>
          </w:p>
        </w:tc>
        <w:tc>
          <w:tcPr>
            <w:tcW w:w="394" w:type="pct"/>
            <w:vMerge w:val="continue"/>
            <w:tcBorders>
              <w:top w:val="nil"/>
              <w:left w:val="single" w:color="auto" w:sz="4" w:space="0"/>
              <w:bottom w:val="single" w:color="auto" w:sz="4" w:space="0"/>
              <w:right w:val="single" w:color="auto" w:sz="4" w:space="0"/>
            </w:tcBorders>
            <w:vAlign w:val="center"/>
          </w:tcPr>
          <w:p w14:paraId="4E806289">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3ECF50BA">
            <w:pPr>
              <w:widowControl/>
              <w:jc w:val="left"/>
              <w:rPr>
                <w:rFonts w:ascii="宋体" w:hAnsi="宋体" w:eastAsia="宋体" w:cs="宋体"/>
                <w:color w:val="000000"/>
                <w:kern w:val="0"/>
                <w:szCs w:val="21"/>
                <w14:ligatures w14:val="none"/>
              </w:rPr>
            </w:pPr>
          </w:p>
        </w:tc>
      </w:tr>
      <w:tr w14:paraId="5350C8A8">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5EC5ABFC">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B346FDF">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024EAEB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4、电池容量：≥4800mAh聚合物锂电池</w:t>
            </w:r>
          </w:p>
        </w:tc>
        <w:tc>
          <w:tcPr>
            <w:tcW w:w="394" w:type="pct"/>
            <w:vMerge w:val="continue"/>
            <w:tcBorders>
              <w:top w:val="nil"/>
              <w:left w:val="single" w:color="auto" w:sz="4" w:space="0"/>
              <w:bottom w:val="single" w:color="auto" w:sz="4" w:space="0"/>
              <w:right w:val="single" w:color="auto" w:sz="4" w:space="0"/>
            </w:tcBorders>
            <w:vAlign w:val="center"/>
          </w:tcPr>
          <w:p w14:paraId="20A2405F">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292D80F0">
            <w:pPr>
              <w:widowControl/>
              <w:jc w:val="left"/>
              <w:rPr>
                <w:rFonts w:ascii="宋体" w:hAnsi="宋体" w:eastAsia="宋体" w:cs="宋体"/>
                <w:color w:val="000000"/>
                <w:kern w:val="0"/>
                <w:szCs w:val="21"/>
                <w14:ligatures w14:val="none"/>
              </w:rPr>
            </w:pPr>
          </w:p>
        </w:tc>
      </w:tr>
      <w:tr w14:paraId="066916F0">
        <w:tblPrEx>
          <w:tblCellMar>
            <w:top w:w="0" w:type="dxa"/>
            <w:left w:w="108" w:type="dxa"/>
            <w:bottom w:w="0" w:type="dxa"/>
            <w:right w:w="108" w:type="dxa"/>
          </w:tblCellMar>
        </w:tblPrEx>
        <w:trPr>
          <w:trHeight w:val="980" w:hRule="atLeast"/>
        </w:trPr>
        <w:tc>
          <w:tcPr>
            <w:tcW w:w="316" w:type="pct"/>
            <w:vMerge w:val="continue"/>
            <w:tcBorders>
              <w:top w:val="nil"/>
              <w:left w:val="single" w:color="auto" w:sz="4" w:space="0"/>
              <w:bottom w:val="single" w:color="auto" w:sz="4" w:space="0"/>
              <w:right w:val="single" w:color="auto" w:sz="4" w:space="0"/>
            </w:tcBorders>
            <w:vAlign w:val="center"/>
          </w:tcPr>
          <w:p w14:paraId="7A69FB11">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790C253">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2D63B39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5、摄像头：前置摄像头：前置500万像素摄像头；后置摄像头：后置1300万像素摄像头可选，带闪光灯、自动对焦功能。</w:t>
            </w:r>
          </w:p>
        </w:tc>
        <w:tc>
          <w:tcPr>
            <w:tcW w:w="394" w:type="pct"/>
            <w:vMerge w:val="continue"/>
            <w:tcBorders>
              <w:top w:val="nil"/>
              <w:left w:val="single" w:color="auto" w:sz="4" w:space="0"/>
              <w:bottom w:val="single" w:color="auto" w:sz="4" w:space="0"/>
              <w:right w:val="single" w:color="auto" w:sz="4" w:space="0"/>
            </w:tcBorders>
            <w:vAlign w:val="center"/>
          </w:tcPr>
          <w:p w14:paraId="1B56911B">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3E7C0E32">
            <w:pPr>
              <w:widowControl/>
              <w:jc w:val="left"/>
              <w:rPr>
                <w:rFonts w:ascii="宋体" w:hAnsi="宋体" w:eastAsia="宋体" w:cs="宋体"/>
                <w:color w:val="000000"/>
                <w:kern w:val="0"/>
                <w:szCs w:val="21"/>
                <w14:ligatures w14:val="none"/>
              </w:rPr>
            </w:pPr>
          </w:p>
        </w:tc>
      </w:tr>
      <w:tr w14:paraId="6A9A4D21">
        <w:tblPrEx>
          <w:tblCellMar>
            <w:top w:w="0" w:type="dxa"/>
            <w:left w:w="108" w:type="dxa"/>
            <w:bottom w:w="0" w:type="dxa"/>
            <w:right w:w="108" w:type="dxa"/>
          </w:tblCellMar>
        </w:tblPrEx>
        <w:trPr>
          <w:trHeight w:val="1950" w:hRule="atLeast"/>
        </w:trPr>
        <w:tc>
          <w:tcPr>
            <w:tcW w:w="316" w:type="pct"/>
            <w:vMerge w:val="continue"/>
            <w:tcBorders>
              <w:top w:val="nil"/>
              <w:left w:val="single" w:color="auto" w:sz="4" w:space="0"/>
              <w:bottom w:val="single" w:color="auto" w:sz="4" w:space="0"/>
              <w:right w:val="single" w:color="auto" w:sz="4" w:space="0"/>
            </w:tcBorders>
            <w:vAlign w:val="center"/>
          </w:tcPr>
          <w:p w14:paraId="3A87244C">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5DA48F3">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0408310">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6、条码采集：  支持二维条码类型PDF417，MicroPDF417，Composite，RSS，TLC-39，Datamatrix，QR code，Micro QR code，Aztec，MaxiCode，Postal Codes，US PostNet，US Planet，UK Postal，Australian Postal，Japan Postal，Dutch Postal等</w:t>
            </w:r>
          </w:p>
        </w:tc>
        <w:tc>
          <w:tcPr>
            <w:tcW w:w="394" w:type="pct"/>
            <w:vMerge w:val="continue"/>
            <w:tcBorders>
              <w:top w:val="nil"/>
              <w:left w:val="single" w:color="auto" w:sz="4" w:space="0"/>
              <w:bottom w:val="single" w:color="auto" w:sz="4" w:space="0"/>
              <w:right w:val="single" w:color="auto" w:sz="4" w:space="0"/>
            </w:tcBorders>
            <w:vAlign w:val="center"/>
          </w:tcPr>
          <w:p w14:paraId="591C56CA">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66D338A9">
            <w:pPr>
              <w:widowControl/>
              <w:jc w:val="left"/>
              <w:rPr>
                <w:rFonts w:ascii="宋体" w:hAnsi="宋体" w:eastAsia="宋体" w:cs="宋体"/>
                <w:color w:val="000000"/>
                <w:kern w:val="0"/>
                <w:szCs w:val="21"/>
                <w14:ligatures w14:val="none"/>
              </w:rPr>
            </w:pPr>
          </w:p>
        </w:tc>
      </w:tr>
      <w:tr w14:paraId="4D5556BC">
        <w:tblPrEx>
          <w:tblCellMar>
            <w:top w:w="0" w:type="dxa"/>
            <w:left w:w="108" w:type="dxa"/>
            <w:bottom w:w="0" w:type="dxa"/>
            <w:right w:w="108" w:type="dxa"/>
          </w:tblCellMar>
        </w:tblPrEx>
        <w:trPr>
          <w:trHeight w:val="2596" w:hRule="atLeast"/>
        </w:trPr>
        <w:tc>
          <w:tcPr>
            <w:tcW w:w="316" w:type="pct"/>
            <w:vMerge w:val="continue"/>
            <w:tcBorders>
              <w:top w:val="nil"/>
              <w:left w:val="single" w:color="auto" w:sz="4" w:space="0"/>
              <w:bottom w:val="single" w:color="auto" w:sz="4" w:space="0"/>
              <w:right w:val="single" w:color="auto" w:sz="4" w:space="0"/>
            </w:tcBorders>
            <w:vAlign w:val="center"/>
          </w:tcPr>
          <w:p w14:paraId="6B7A3CD9">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8521B0F">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6F71178D">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7、RFID：超高频支持频率915MHz、865MHz（865-868MHz或902-928MHz）；支持EPC C1 GEN2 ISO18000-6C协议；0-20米距离/与标签和环境有关；高频支持频率13.56MHz，支持协议：ISO14443A/B、 ISO15693、NFC-IP1、NFC-IP2等，支持M1卡（S50，S70），CPU卡，NFC标签等，支持0-10厘米读取距离（与标签和环境有关）</w:t>
            </w:r>
          </w:p>
        </w:tc>
        <w:tc>
          <w:tcPr>
            <w:tcW w:w="394" w:type="pct"/>
            <w:vMerge w:val="continue"/>
            <w:tcBorders>
              <w:top w:val="nil"/>
              <w:left w:val="single" w:color="auto" w:sz="4" w:space="0"/>
              <w:bottom w:val="single" w:color="auto" w:sz="4" w:space="0"/>
              <w:right w:val="single" w:color="auto" w:sz="4" w:space="0"/>
            </w:tcBorders>
            <w:vAlign w:val="center"/>
          </w:tcPr>
          <w:p w14:paraId="3654ACF7">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2336D1DE">
            <w:pPr>
              <w:widowControl/>
              <w:jc w:val="left"/>
              <w:rPr>
                <w:rFonts w:ascii="宋体" w:hAnsi="宋体" w:eastAsia="宋体" w:cs="宋体"/>
                <w:color w:val="000000"/>
                <w:kern w:val="0"/>
                <w:szCs w:val="21"/>
                <w14:ligatures w14:val="none"/>
              </w:rPr>
            </w:pPr>
          </w:p>
        </w:tc>
      </w:tr>
      <w:tr w14:paraId="2773415F">
        <w:tblPrEx>
          <w:tblCellMar>
            <w:top w:w="0" w:type="dxa"/>
            <w:left w:w="108" w:type="dxa"/>
            <w:bottom w:w="0" w:type="dxa"/>
            <w:right w:w="108" w:type="dxa"/>
          </w:tblCellMar>
        </w:tblPrEx>
        <w:trPr>
          <w:trHeight w:val="657" w:hRule="atLeast"/>
        </w:trPr>
        <w:tc>
          <w:tcPr>
            <w:tcW w:w="316" w:type="pct"/>
            <w:vMerge w:val="restart"/>
            <w:tcBorders>
              <w:top w:val="nil"/>
              <w:left w:val="single" w:color="auto" w:sz="4" w:space="0"/>
              <w:bottom w:val="single" w:color="auto" w:sz="4" w:space="0"/>
              <w:right w:val="single" w:color="auto" w:sz="4" w:space="0"/>
            </w:tcBorders>
            <w:shd w:val="clear" w:color="auto" w:fill="auto"/>
            <w:vAlign w:val="center"/>
          </w:tcPr>
          <w:p w14:paraId="748AC3F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w:t>
            </w:r>
          </w:p>
        </w:tc>
        <w:tc>
          <w:tcPr>
            <w:tcW w:w="815" w:type="pct"/>
            <w:vMerge w:val="restart"/>
            <w:tcBorders>
              <w:top w:val="nil"/>
              <w:left w:val="single" w:color="auto" w:sz="4" w:space="0"/>
              <w:bottom w:val="single" w:color="auto" w:sz="4" w:space="0"/>
              <w:right w:val="single" w:color="auto" w:sz="4" w:space="0"/>
            </w:tcBorders>
            <w:shd w:val="clear" w:color="auto" w:fill="auto"/>
            <w:vAlign w:val="center"/>
          </w:tcPr>
          <w:p w14:paraId="4F03C7CB">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RFID读写卡器</w:t>
            </w:r>
          </w:p>
        </w:tc>
        <w:tc>
          <w:tcPr>
            <w:tcW w:w="3155" w:type="pct"/>
            <w:tcBorders>
              <w:top w:val="nil"/>
              <w:left w:val="nil"/>
              <w:bottom w:val="single" w:color="auto" w:sz="4" w:space="0"/>
              <w:right w:val="single" w:color="auto" w:sz="4" w:space="0"/>
            </w:tcBorders>
            <w:shd w:val="clear" w:color="auto" w:fill="auto"/>
            <w:vAlign w:val="center"/>
          </w:tcPr>
          <w:p w14:paraId="31A52975">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1、支持的协议：EPC Class 1 Gen2(ISO18000-6C)/ISO18000-6B</w:t>
            </w:r>
          </w:p>
        </w:tc>
        <w:tc>
          <w:tcPr>
            <w:tcW w:w="394" w:type="pct"/>
            <w:vMerge w:val="restart"/>
            <w:tcBorders>
              <w:top w:val="nil"/>
              <w:left w:val="single" w:color="auto" w:sz="4" w:space="0"/>
              <w:bottom w:val="single" w:color="auto" w:sz="4" w:space="0"/>
              <w:right w:val="single" w:color="auto" w:sz="4" w:space="0"/>
            </w:tcBorders>
            <w:shd w:val="clear" w:color="auto" w:fill="auto"/>
            <w:vAlign w:val="center"/>
          </w:tcPr>
          <w:p w14:paraId="3D764E1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w:t>
            </w:r>
          </w:p>
        </w:tc>
        <w:tc>
          <w:tcPr>
            <w:tcW w:w="317" w:type="pct"/>
            <w:vMerge w:val="restart"/>
            <w:tcBorders>
              <w:top w:val="nil"/>
              <w:left w:val="single" w:color="auto" w:sz="4" w:space="0"/>
              <w:bottom w:val="single" w:color="auto" w:sz="4" w:space="0"/>
              <w:right w:val="single" w:color="auto" w:sz="4" w:space="0"/>
            </w:tcBorders>
            <w:shd w:val="clear" w:color="auto" w:fill="auto"/>
            <w:vAlign w:val="center"/>
          </w:tcPr>
          <w:p w14:paraId="52F6A29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台</w:t>
            </w:r>
          </w:p>
        </w:tc>
      </w:tr>
      <w:tr w14:paraId="377CABF5">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0B5B22AB">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DBD7D8F">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63D67E1F">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2、工作方式：广谱跳频（FHSS）</w:t>
            </w:r>
          </w:p>
        </w:tc>
        <w:tc>
          <w:tcPr>
            <w:tcW w:w="394" w:type="pct"/>
            <w:vMerge w:val="continue"/>
            <w:tcBorders>
              <w:top w:val="nil"/>
              <w:left w:val="single" w:color="auto" w:sz="4" w:space="0"/>
              <w:bottom w:val="single" w:color="auto" w:sz="4" w:space="0"/>
              <w:right w:val="single" w:color="auto" w:sz="4" w:space="0"/>
            </w:tcBorders>
            <w:vAlign w:val="center"/>
          </w:tcPr>
          <w:p w14:paraId="266057D2">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593C1655">
            <w:pPr>
              <w:widowControl/>
              <w:jc w:val="left"/>
              <w:rPr>
                <w:rFonts w:ascii="宋体" w:hAnsi="宋体" w:eastAsia="宋体" w:cs="宋体"/>
                <w:color w:val="000000"/>
                <w:kern w:val="0"/>
                <w:szCs w:val="21"/>
                <w14:ligatures w14:val="none"/>
              </w:rPr>
            </w:pPr>
          </w:p>
        </w:tc>
      </w:tr>
      <w:tr w14:paraId="39AF927C">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5C751A37">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5206E838">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7EAF9D18">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3、射频功率：0~30dBm，软件可调</w:t>
            </w:r>
          </w:p>
        </w:tc>
        <w:tc>
          <w:tcPr>
            <w:tcW w:w="394" w:type="pct"/>
            <w:vMerge w:val="continue"/>
            <w:tcBorders>
              <w:top w:val="nil"/>
              <w:left w:val="single" w:color="auto" w:sz="4" w:space="0"/>
              <w:bottom w:val="single" w:color="auto" w:sz="4" w:space="0"/>
              <w:right w:val="single" w:color="auto" w:sz="4" w:space="0"/>
            </w:tcBorders>
            <w:vAlign w:val="center"/>
          </w:tcPr>
          <w:p w14:paraId="505EB5C4">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2B9EF33">
            <w:pPr>
              <w:widowControl/>
              <w:jc w:val="left"/>
              <w:rPr>
                <w:rFonts w:ascii="宋体" w:hAnsi="宋体" w:eastAsia="宋体" w:cs="宋体"/>
                <w:color w:val="000000"/>
                <w:kern w:val="0"/>
                <w:szCs w:val="21"/>
                <w14:ligatures w14:val="none"/>
              </w:rPr>
            </w:pPr>
          </w:p>
        </w:tc>
      </w:tr>
      <w:tr w14:paraId="71DCC9ED">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150F70D0">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74560CD">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4A21294F">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4、读卡速度：由软件设置，单卡平均读取时间每64bits小于6ms</w:t>
            </w:r>
          </w:p>
        </w:tc>
        <w:tc>
          <w:tcPr>
            <w:tcW w:w="394" w:type="pct"/>
            <w:vMerge w:val="continue"/>
            <w:tcBorders>
              <w:top w:val="nil"/>
              <w:left w:val="single" w:color="auto" w:sz="4" w:space="0"/>
              <w:bottom w:val="single" w:color="auto" w:sz="4" w:space="0"/>
              <w:right w:val="single" w:color="auto" w:sz="4" w:space="0"/>
            </w:tcBorders>
            <w:vAlign w:val="center"/>
          </w:tcPr>
          <w:p w14:paraId="5FCF8326">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2B2FD5EB">
            <w:pPr>
              <w:widowControl/>
              <w:jc w:val="left"/>
              <w:rPr>
                <w:rFonts w:ascii="宋体" w:hAnsi="宋体" w:eastAsia="宋体" w:cs="宋体"/>
                <w:color w:val="000000"/>
                <w:kern w:val="0"/>
                <w:szCs w:val="21"/>
                <w14:ligatures w14:val="none"/>
              </w:rPr>
            </w:pPr>
          </w:p>
        </w:tc>
      </w:tr>
      <w:tr w14:paraId="2BD4B59F">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5613F142">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81654D8">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91D3F93">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5、读卡方式：自动读卡和主动工作读卡模式，由软件设置</w:t>
            </w:r>
          </w:p>
        </w:tc>
        <w:tc>
          <w:tcPr>
            <w:tcW w:w="394" w:type="pct"/>
            <w:vMerge w:val="continue"/>
            <w:tcBorders>
              <w:top w:val="nil"/>
              <w:left w:val="single" w:color="auto" w:sz="4" w:space="0"/>
              <w:bottom w:val="single" w:color="auto" w:sz="4" w:space="0"/>
              <w:right w:val="single" w:color="auto" w:sz="4" w:space="0"/>
            </w:tcBorders>
            <w:vAlign w:val="center"/>
          </w:tcPr>
          <w:p w14:paraId="3EFE34F2">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9F5B55F">
            <w:pPr>
              <w:widowControl/>
              <w:jc w:val="left"/>
              <w:rPr>
                <w:rFonts w:ascii="宋体" w:hAnsi="宋体" w:eastAsia="宋体" w:cs="宋体"/>
                <w:color w:val="000000"/>
                <w:kern w:val="0"/>
                <w:szCs w:val="21"/>
                <w14:ligatures w14:val="none"/>
              </w:rPr>
            </w:pPr>
          </w:p>
        </w:tc>
      </w:tr>
      <w:tr w14:paraId="606B92C2">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2A6B27EB">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02AE67A3">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02FCE147">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6、数据接口：USB</w:t>
            </w:r>
          </w:p>
        </w:tc>
        <w:tc>
          <w:tcPr>
            <w:tcW w:w="394" w:type="pct"/>
            <w:vMerge w:val="continue"/>
            <w:tcBorders>
              <w:top w:val="nil"/>
              <w:left w:val="single" w:color="auto" w:sz="4" w:space="0"/>
              <w:bottom w:val="single" w:color="auto" w:sz="4" w:space="0"/>
              <w:right w:val="single" w:color="auto" w:sz="4" w:space="0"/>
            </w:tcBorders>
            <w:vAlign w:val="center"/>
          </w:tcPr>
          <w:p w14:paraId="03B5705C">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55BBD1E2">
            <w:pPr>
              <w:widowControl/>
              <w:jc w:val="left"/>
              <w:rPr>
                <w:rFonts w:ascii="宋体" w:hAnsi="宋体" w:eastAsia="宋体" w:cs="宋体"/>
                <w:color w:val="000000"/>
                <w:kern w:val="0"/>
                <w:szCs w:val="21"/>
                <w14:ligatures w14:val="none"/>
              </w:rPr>
            </w:pPr>
          </w:p>
        </w:tc>
      </w:tr>
      <w:tr w14:paraId="165A04E5">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564F976C">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18F1CCD5">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0049E84B">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7、读卡距离：＜0.1m</w:t>
            </w:r>
          </w:p>
        </w:tc>
        <w:tc>
          <w:tcPr>
            <w:tcW w:w="394" w:type="pct"/>
            <w:vMerge w:val="continue"/>
            <w:tcBorders>
              <w:top w:val="nil"/>
              <w:left w:val="single" w:color="auto" w:sz="4" w:space="0"/>
              <w:bottom w:val="single" w:color="auto" w:sz="4" w:space="0"/>
              <w:right w:val="single" w:color="auto" w:sz="4" w:space="0"/>
            </w:tcBorders>
            <w:vAlign w:val="center"/>
          </w:tcPr>
          <w:p w14:paraId="453E8C29">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206A3163">
            <w:pPr>
              <w:widowControl/>
              <w:jc w:val="left"/>
              <w:rPr>
                <w:rFonts w:ascii="宋体" w:hAnsi="宋体" w:eastAsia="宋体" w:cs="宋体"/>
                <w:color w:val="000000"/>
                <w:kern w:val="0"/>
                <w:szCs w:val="21"/>
                <w14:ligatures w14:val="none"/>
              </w:rPr>
            </w:pPr>
          </w:p>
        </w:tc>
      </w:tr>
      <w:tr w14:paraId="6C051BE4">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3CF81CCE">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C55F130">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4B75BF4A">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8、读卡提示：蜂鸣器和LED</w:t>
            </w:r>
          </w:p>
        </w:tc>
        <w:tc>
          <w:tcPr>
            <w:tcW w:w="394" w:type="pct"/>
            <w:vMerge w:val="continue"/>
            <w:tcBorders>
              <w:top w:val="nil"/>
              <w:left w:val="single" w:color="auto" w:sz="4" w:space="0"/>
              <w:bottom w:val="single" w:color="auto" w:sz="4" w:space="0"/>
              <w:right w:val="single" w:color="auto" w:sz="4" w:space="0"/>
            </w:tcBorders>
            <w:vAlign w:val="center"/>
          </w:tcPr>
          <w:p w14:paraId="14DD5F2D">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02E93F74">
            <w:pPr>
              <w:widowControl/>
              <w:jc w:val="left"/>
              <w:rPr>
                <w:rFonts w:ascii="宋体" w:hAnsi="宋体" w:eastAsia="宋体" w:cs="宋体"/>
                <w:color w:val="000000"/>
                <w:kern w:val="0"/>
                <w:szCs w:val="21"/>
                <w14:ligatures w14:val="none"/>
              </w:rPr>
            </w:pPr>
          </w:p>
        </w:tc>
      </w:tr>
      <w:tr w14:paraId="6DCD55CD">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40F08CA7">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0A6FB763">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17B81A7E">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9、天线：内置微型圆极化天线</w:t>
            </w:r>
          </w:p>
        </w:tc>
        <w:tc>
          <w:tcPr>
            <w:tcW w:w="394" w:type="pct"/>
            <w:vMerge w:val="continue"/>
            <w:tcBorders>
              <w:top w:val="nil"/>
              <w:left w:val="single" w:color="auto" w:sz="4" w:space="0"/>
              <w:bottom w:val="single" w:color="auto" w:sz="4" w:space="0"/>
              <w:right w:val="single" w:color="auto" w:sz="4" w:space="0"/>
            </w:tcBorders>
            <w:vAlign w:val="center"/>
          </w:tcPr>
          <w:p w14:paraId="3AF424FA">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6D12B3B4">
            <w:pPr>
              <w:widowControl/>
              <w:jc w:val="left"/>
              <w:rPr>
                <w:rFonts w:ascii="宋体" w:hAnsi="宋体" w:eastAsia="宋体" w:cs="宋体"/>
                <w:color w:val="000000"/>
                <w:kern w:val="0"/>
                <w:szCs w:val="21"/>
                <w14:ligatures w14:val="none"/>
              </w:rPr>
            </w:pPr>
          </w:p>
        </w:tc>
      </w:tr>
      <w:tr w14:paraId="711DC678">
        <w:tblPrEx>
          <w:tblCellMar>
            <w:top w:w="0" w:type="dxa"/>
            <w:left w:w="108" w:type="dxa"/>
            <w:bottom w:w="0" w:type="dxa"/>
            <w:right w:w="108" w:type="dxa"/>
          </w:tblCellMar>
        </w:tblPrEx>
        <w:trPr>
          <w:trHeight w:val="657" w:hRule="atLeast"/>
        </w:trPr>
        <w:tc>
          <w:tcPr>
            <w:tcW w:w="316" w:type="pct"/>
            <w:vMerge w:val="restart"/>
            <w:tcBorders>
              <w:top w:val="nil"/>
              <w:left w:val="single" w:color="auto" w:sz="4" w:space="0"/>
              <w:bottom w:val="single" w:color="auto" w:sz="4" w:space="0"/>
              <w:right w:val="single" w:color="auto" w:sz="4" w:space="0"/>
            </w:tcBorders>
            <w:shd w:val="clear" w:color="auto" w:fill="auto"/>
            <w:vAlign w:val="center"/>
          </w:tcPr>
          <w:p w14:paraId="5C18DC0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w:t>
            </w:r>
          </w:p>
        </w:tc>
        <w:tc>
          <w:tcPr>
            <w:tcW w:w="815" w:type="pct"/>
            <w:vMerge w:val="restart"/>
            <w:tcBorders>
              <w:top w:val="nil"/>
              <w:left w:val="single" w:color="auto" w:sz="4" w:space="0"/>
              <w:bottom w:val="single" w:color="auto" w:sz="4" w:space="0"/>
              <w:right w:val="single" w:color="auto" w:sz="4" w:space="0"/>
            </w:tcBorders>
            <w:shd w:val="clear" w:color="auto" w:fill="auto"/>
            <w:vAlign w:val="center"/>
          </w:tcPr>
          <w:p w14:paraId="5D6A91B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RFID电子标签</w:t>
            </w:r>
          </w:p>
        </w:tc>
        <w:tc>
          <w:tcPr>
            <w:tcW w:w="3155" w:type="pct"/>
            <w:tcBorders>
              <w:top w:val="nil"/>
              <w:left w:val="nil"/>
              <w:bottom w:val="single" w:color="auto" w:sz="4" w:space="0"/>
              <w:right w:val="single" w:color="auto" w:sz="4" w:space="0"/>
            </w:tcBorders>
            <w:shd w:val="clear" w:color="auto" w:fill="auto"/>
            <w:vAlign w:val="center"/>
          </w:tcPr>
          <w:p w14:paraId="0E244817">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1、RFID 协议：ISO/IEC 18000-6 Type C (EPC Gen2)</w:t>
            </w:r>
          </w:p>
        </w:tc>
        <w:tc>
          <w:tcPr>
            <w:tcW w:w="394" w:type="pct"/>
            <w:vMerge w:val="restart"/>
            <w:tcBorders>
              <w:top w:val="nil"/>
              <w:left w:val="single" w:color="auto" w:sz="4" w:space="0"/>
              <w:bottom w:val="single" w:color="auto" w:sz="4" w:space="0"/>
              <w:right w:val="single" w:color="auto" w:sz="4" w:space="0"/>
            </w:tcBorders>
            <w:shd w:val="clear" w:color="auto" w:fill="auto"/>
            <w:vAlign w:val="center"/>
          </w:tcPr>
          <w:p w14:paraId="4D416B5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w:t>
            </w:r>
          </w:p>
        </w:tc>
        <w:tc>
          <w:tcPr>
            <w:tcW w:w="317" w:type="pct"/>
            <w:vMerge w:val="restart"/>
            <w:tcBorders>
              <w:top w:val="nil"/>
              <w:left w:val="single" w:color="auto" w:sz="4" w:space="0"/>
              <w:bottom w:val="single" w:color="auto" w:sz="4" w:space="0"/>
              <w:right w:val="single" w:color="auto" w:sz="4" w:space="0"/>
            </w:tcBorders>
            <w:shd w:val="clear" w:color="auto" w:fill="auto"/>
            <w:vAlign w:val="center"/>
          </w:tcPr>
          <w:p w14:paraId="008D7D3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卷</w:t>
            </w:r>
          </w:p>
        </w:tc>
      </w:tr>
      <w:tr w14:paraId="6B90E04A">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1701E4C6">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C72880F">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22EEF534">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2、用户区：32(64) bits</w:t>
            </w:r>
          </w:p>
        </w:tc>
        <w:tc>
          <w:tcPr>
            <w:tcW w:w="394" w:type="pct"/>
            <w:vMerge w:val="continue"/>
            <w:tcBorders>
              <w:top w:val="nil"/>
              <w:left w:val="single" w:color="auto" w:sz="4" w:space="0"/>
              <w:bottom w:val="single" w:color="auto" w:sz="4" w:space="0"/>
              <w:right w:val="single" w:color="auto" w:sz="4" w:space="0"/>
            </w:tcBorders>
            <w:vAlign w:val="center"/>
          </w:tcPr>
          <w:p w14:paraId="1348C5AA">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EDE88E5">
            <w:pPr>
              <w:widowControl/>
              <w:jc w:val="left"/>
              <w:rPr>
                <w:rFonts w:ascii="宋体" w:hAnsi="宋体" w:eastAsia="宋体" w:cs="宋体"/>
                <w:color w:val="000000"/>
                <w:kern w:val="0"/>
                <w:szCs w:val="21"/>
                <w14:ligatures w14:val="none"/>
              </w:rPr>
            </w:pPr>
          </w:p>
        </w:tc>
      </w:tr>
      <w:tr w14:paraId="14B41B94">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2DF57743">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F4F9E16">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682B8722">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3、EPC区：128(96) bits</w:t>
            </w:r>
          </w:p>
        </w:tc>
        <w:tc>
          <w:tcPr>
            <w:tcW w:w="394" w:type="pct"/>
            <w:vMerge w:val="continue"/>
            <w:tcBorders>
              <w:top w:val="nil"/>
              <w:left w:val="single" w:color="auto" w:sz="4" w:space="0"/>
              <w:bottom w:val="single" w:color="auto" w:sz="4" w:space="0"/>
              <w:right w:val="single" w:color="auto" w:sz="4" w:space="0"/>
            </w:tcBorders>
            <w:vAlign w:val="center"/>
          </w:tcPr>
          <w:p w14:paraId="30D0C8FD">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17CF4DB">
            <w:pPr>
              <w:widowControl/>
              <w:jc w:val="left"/>
              <w:rPr>
                <w:rFonts w:ascii="宋体" w:hAnsi="宋体" w:eastAsia="宋体" w:cs="宋体"/>
                <w:color w:val="000000"/>
                <w:kern w:val="0"/>
                <w:szCs w:val="21"/>
                <w14:ligatures w14:val="none"/>
              </w:rPr>
            </w:pPr>
          </w:p>
        </w:tc>
      </w:tr>
      <w:tr w14:paraId="139CF334">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16DA3E1F">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DDBB18B">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0FC994B">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4、TID区：48 bits</w:t>
            </w:r>
          </w:p>
        </w:tc>
        <w:tc>
          <w:tcPr>
            <w:tcW w:w="394" w:type="pct"/>
            <w:vMerge w:val="continue"/>
            <w:tcBorders>
              <w:top w:val="nil"/>
              <w:left w:val="single" w:color="auto" w:sz="4" w:space="0"/>
              <w:bottom w:val="single" w:color="auto" w:sz="4" w:space="0"/>
              <w:right w:val="single" w:color="auto" w:sz="4" w:space="0"/>
            </w:tcBorders>
            <w:vAlign w:val="center"/>
          </w:tcPr>
          <w:p w14:paraId="1EEA91E4">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EA2C718">
            <w:pPr>
              <w:widowControl/>
              <w:jc w:val="left"/>
              <w:rPr>
                <w:rFonts w:ascii="宋体" w:hAnsi="宋体" w:eastAsia="宋体" w:cs="宋体"/>
                <w:color w:val="000000"/>
                <w:kern w:val="0"/>
                <w:szCs w:val="21"/>
                <w14:ligatures w14:val="none"/>
              </w:rPr>
            </w:pPr>
          </w:p>
        </w:tc>
      </w:tr>
      <w:tr w14:paraId="22E1D84F">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4713AC1C">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98D4BB1">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24EDD4DD">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5、Kill Passwords：32 bits</w:t>
            </w:r>
          </w:p>
        </w:tc>
        <w:tc>
          <w:tcPr>
            <w:tcW w:w="394" w:type="pct"/>
            <w:vMerge w:val="continue"/>
            <w:tcBorders>
              <w:top w:val="nil"/>
              <w:left w:val="single" w:color="auto" w:sz="4" w:space="0"/>
              <w:bottom w:val="single" w:color="auto" w:sz="4" w:space="0"/>
              <w:right w:val="single" w:color="auto" w:sz="4" w:space="0"/>
            </w:tcBorders>
            <w:vAlign w:val="center"/>
          </w:tcPr>
          <w:p w14:paraId="3814E4D0">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DF23F84">
            <w:pPr>
              <w:widowControl/>
              <w:jc w:val="left"/>
              <w:rPr>
                <w:rFonts w:ascii="宋体" w:hAnsi="宋体" w:eastAsia="宋体" w:cs="宋体"/>
                <w:color w:val="000000"/>
                <w:kern w:val="0"/>
                <w:szCs w:val="21"/>
                <w14:ligatures w14:val="none"/>
              </w:rPr>
            </w:pPr>
          </w:p>
        </w:tc>
      </w:tr>
      <w:tr w14:paraId="52985E18">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51CF78A1">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10043BB6">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19235E70">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6、Access Passwords：32 bits</w:t>
            </w:r>
          </w:p>
        </w:tc>
        <w:tc>
          <w:tcPr>
            <w:tcW w:w="394" w:type="pct"/>
            <w:vMerge w:val="continue"/>
            <w:tcBorders>
              <w:top w:val="nil"/>
              <w:left w:val="single" w:color="auto" w:sz="4" w:space="0"/>
              <w:bottom w:val="single" w:color="auto" w:sz="4" w:space="0"/>
              <w:right w:val="single" w:color="auto" w:sz="4" w:space="0"/>
            </w:tcBorders>
            <w:vAlign w:val="center"/>
          </w:tcPr>
          <w:p w14:paraId="1D270074">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4471FB36">
            <w:pPr>
              <w:widowControl/>
              <w:jc w:val="left"/>
              <w:rPr>
                <w:rFonts w:ascii="宋体" w:hAnsi="宋体" w:eastAsia="宋体" w:cs="宋体"/>
                <w:color w:val="000000"/>
                <w:kern w:val="0"/>
                <w:szCs w:val="21"/>
                <w14:ligatures w14:val="none"/>
              </w:rPr>
            </w:pPr>
          </w:p>
        </w:tc>
      </w:tr>
      <w:tr w14:paraId="15E101C7">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1B2DE0E5">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8651B57">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25438DBA">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7、识别距离：固定式读写器读距&gt;6m（根据不同读写设备和机具功率大小会有不同）</w:t>
            </w:r>
          </w:p>
        </w:tc>
        <w:tc>
          <w:tcPr>
            <w:tcW w:w="394" w:type="pct"/>
            <w:vMerge w:val="continue"/>
            <w:tcBorders>
              <w:top w:val="nil"/>
              <w:left w:val="single" w:color="auto" w:sz="4" w:space="0"/>
              <w:bottom w:val="single" w:color="auto" w:sz="4" w:space="0"/>
              <w:right w:val="single" w:color="auto" w:sz="4" w:space="0"/>
            </w:tcBorders>
            <w:vAlign w:val="center"/>
          </w:tcPr>
          <w:p w14:paraId="18497831">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340AE15C">
            <w:pPr>
              <w:widowControl/>
              <w:jc w:val="left"/>
              <w:rPr>
                <w:rFonts w:ascii="宋体" w:hAnsi="宋体" w:eastAsia="宋体" w:cs="宋体"/>
                <w:color w:val="000000"/>
                <w:kern w:val="0"/>
                <w:szCs w:val="21"/>
                <w14:ligatures w14:val="none"/>
              </w:rPr>
            </w:pPr>
          </w:p>
        </w:tc>
      </w:tr>
      <w:tr w14:paraId="10CFF7EE">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7932E64E">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CCD3051">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0B7A3AB1">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8、尺寸：65mm*35mm*500张/卷</w:t>
            </w:r>
          </w:p>
        </w:tc>
        <w:tc>
          <w:tcPr>
            <w:tcW w:w="394" w:type="pct"/>
            <w:vMerge w:val="continue"/>
            <w:tcBorders>
              <w:top w:val="nil"/>
              <w:left w:val="single" w:color="auto" w:sz="4" w:space="0"/>
              <w:bottom w:val="single" w:color="auto" w:sz="4" w:space="0"/>
              <w:right w:val="single" w:color="auto" w:sz="4" w:space="0"/>
            </w:tcBorders>
            <w:vAlign w:val="center"/>
          </w:tcPr>
          <w:p w14:paraId="4D0449F7">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55E3C0AC">
            <w:pPr>
              <w:widowControl/>
              <w:jc w:val="left"/>
              <w:rPr>
                <w:rFonts w:ascii="宋体" w:hAnsi="宋体" w:eastAsia="宋体" w:cs="宋体"/>
                <w:color w:val="000000"/>
                <w:kern w:val="0"/>
                <w:szCs w:val="21"/>
                <w14:ligatures w14:val="none"/>
              </w:rPr>
            </w:pPr>
          </w:p>
        </w:tc>
      </w:tr>
      <w:tr w14:paraId="46A425CA">
        <w:tblPrEx>
          <w:tblCellMar>
            <w:top w:w="0" w:type="dxa"/>
            <w:left w:w="108" w:type="dxa"/>
            <w:bottom w:w="0" w:type="dxa"/>
            <w:right w:w="108" w:type="dxa"/>
          </w:tblCellMar>
        </w:tblPrEx>
        <w:trPr>
          <w:trHeight w:val="657" w:hRule="atLeast"/>
        </w:trPr>
        <w:tc>
          <w:tcPr>
            <w:tcW w:w="316" w:type="pct"/>
            <w:vMerge w:val="restart"/>
            <w:tcBorders>
              <w:top w:val="nil"/>
              <w:left w:val="single" w:color="auto" w:sz="4" w:space="0"/>
              <w:bottom w:val="single" w:color="auto" w:sz="4" w:space="0"/>
              <w:right w:val="single" w:color="auto" w:sz="4" w:space="0"/>
            </w:tcBorders>
            <w:shd w:val="clear" w:color="auto" w:fill="auto"/>
            <w:vAlign w:val="center"/>
          </w:tcPr>
          <w:p w14:paraId="0BBBD4B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w:t>
            </w:r>
          </w:p>
        </w:tc>
        <w:tc>
          <w:tcPr>
            <w:tcW w:w="815" w:type="pct"/>
            <w:vMerge w:val="restart"/>
            <w:tcBorders>
              <w:top w:val="nil"/>
              <w:left w:val="single" w:color="auto" w:sz="4" w:space="0"/>
              <w:bottom w:val="single" w:color="auto" w:sz="4" w:space="0"/>
              <w:right w:val="single" w:color="auto" w:sz="4" w:space="0"/>
            </w:tcBorders>
            <w:shd w:val="clear" w:color="auto" w:fill="auto"/>
            <w:vAlign w:val="center"/>
          </w:tcPr>
          <w:p w14:paraId="3DD9147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RFID资产卡</w:t>
            </w:r>
          </w:p>
        </w:tc>
        <w:tc>
          <w:tcPr>
            <w:tcW w:w="3155" w:type="pct"/>
            <w:tcBorders>
              <w:top w:val="nil"/>
              <w:left w:val="nil"/>
              <w:bottom w:val="single" w:color="auto" w:sz="4" w:space="0"/>
              <w:right w:val="single" w:color="auto" w:sz="4" w:space="0"/>
            </w:tcBorders>
            <w:shd w:val="clear" w:color="auto" w:fill="auto"/>
            <w:vAlign w:val="center"/>
          </w:tcPr>
          <w:p w14:paraId="55FF373E">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xml:space="preserve">1、协议：ISO/IEC 18000-6C &amp; EPC global Class 1 Gen 2 </w:t>
            </w:r>
          </w:p>
        </w:tc>
        <w:tc>
          <w:tcPr>
            <w:tcW w:w="394" w:type="pct"/>
            <w:vMerge w:val="restart"/>
            <w:tcBorders>
              <w:top w:val="nil"/>
              <w:left w:val="single" w:color="auto" w:sz="4" w:space="0"/>
              <w:bottom w:val="single" w:color="auto" w:sz="4" w:space="0"/>
              <w:right w:val="single" w:color="auto" w:sz="4" w:space="0"/>
            </w:tcBorders>
            <w:shd w:val="clear" w:color="auto" w:fill="auto"/>
            <w:vAlign w:val="center"/>
          </w:tcPr>
          <w:p w14:paraId="7C87D5D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600</w:t>
            </w:r>
          </w:p>
        </w:tc>
        <w:tc>
          <w:tcPr>
            <w:tcW w:w="317" w:type="pct"/>
            <w:vMerge w:val="restart"/>
            <w:tcBorders>
              <w:top w:val="nil"/>
              <w:left w:val="single" w:color="auto" w:sz="4" w:space="0"/>
              <w:bottom w:val="single" w:color="auto" w:sz="4" w:space="0"/>
              <w:right w:val="single" w:color="auto" w:sz="4" w:space="0"/>
            </w:tcBorders>
            <w:shd w:val="clear" w:color="auto" w:fill="auto"/>
            <w:vAlign w:val="center"/>
          </w:tcPr>
          <w:p w14:paraId="7F4AAB1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张</w:t>
            </w:r>
          </w:p>
        </w:tc>
      </w:tr>
      <w:tr w14:paraId="734CCEB7">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3C5BEACE">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D2599FF">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5886AF08">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xml:space="preserve">2、工作频率：902- 928MHz(US) </w:t>
            </w:r>
          </w:p>
        </w:tc>
        <w:tc>
          <w:tcPr>
            <w:tcW w:w="394" w:type="pct"/>
            <w:vMerge w:val="continue"/>
            <w:tcBorders>
              <w:top w:val="nil"/>
              <w:left w:val="single" w:color="auto" w:sz="4" w:space="0"/>
              <w:bottom w:val="single" w:color="auto" w:sz="4" w:space="0"/>
              <w:right w:val="single" w:color="auto" w:sz="4" w:space="0"/>
            </w:tcBorders>
            <w:vAlign w:val="center"/>
          </w:tcPr>
          <w:p w14:paraId="565A0A70">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03F563E2">
            <w:pPr>
              <w:widowControl/>
              <w:jc w:val="left"/>
              <w:rPr>
                <w:rFonts w:ascii="宋体" w:hAnsi="宋体" w:eastAsia="宋体" w:cs="宋体"/>
                <w:color w:val="000000"/>
                <w:kern w:val="0"/>
                <w:szCs w:val="21"/>
                <w14:ligatures w14:val="none"/>
              </w:rPr>
            </w:pPr>
          </w:p>
        </w:tc>
      </w:tr>
      <w:tr w14:paraId="63A65EC1">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4E2F71F6">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27976B5D">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71FE8016">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3、卡片尺寸：大于等于70*20*3.3mm</w:t>
            </w:r>
          </w:p>
        </w:tc>
        <w:tc>
          <w:tcPr>
            <w:tcW w:w="394" w:type="pct"/>
            <w:vMerge w:val="continue"/>
            <w:tcBorders>
              <w:top w:val="nil"/>
              <w:left w:val="single" w:color="auto" w:sz="4" w:space="0"/>
              <w:bottom w:val="single" w:color="auto" w:sz="4" w:space="0"/>
              <w:right w:val="single" w:color="auto" w:sz="4" w:space="0"/>
            </w:tcBorders>
            <w:vAlign w:val="center"/>
          </w:tcPr>
          <w:p w14:paraId="01287F13">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E8C2F7F">
            <w:pPr>
              <w:widowControl/>
              <w:jc w:val="left"/>
              <w:rPr>
                <w:rFonts w:ascii="宋体" w:hAnsi="宋体" w:eastAsia="宋体" w:cs="宋体"/>
                <w:color w:val="000000"/>
                <w:kern w:val="0"/>
                <w:szCs w:val="21"/>
                <w14:ligatures w14:val="none"/>
              </w:rPr>
            </w:pPr>
          </w:p>
        </w:tc>
      </w:tr>
      <w:tr w14:paraId="401CE656">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76B17D9F">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11EEB330">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1E707E9F">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xml:space="preserve">4、EPC 区域：128 bits </w:t>
            </w:r>
          </w:p>
        </w:tc>
        <w:tc>
          <w:tcPr>
            <w:tcW w:w="394" w:type="pct"/>
            <w:vMerge w:val="continue"/>
            <w:tcBorders>
              <w:top w:val="nil"/>
              <w:left w:val="single" w:color="auto" w:sz="4" w:space="0"/>
              <w:bottom w:val="single" w:color="auto" w:sz="4" w:space="0"/>
              <w:right w:val="single" w:color="auto" w:sz="4" w:space="0"/>
            </w:tcBorders>
            <w:vAlign w:val="center"/>
          </w:tcPr>
          <w:p w14:paraId="04B656CF">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18ADC1D5">
            <w:pPr>
              <w:widowControl/>
              <w:jc w:val="left"/>
              <w:rPr>
                <w:rFonts w:ascii="宋体" w:hAnsi="宋体" w:eastAsia="宋体" w:cs="宋体"/>
                <w:color w:val="000000"/>
                <w:kern w:val="0"/>
                <w:szCs w:val="21"/>
                <w14:ligatures w14:val="none"/>
              </w:rPr>
            </w:pPr>
          </w:p>
        </w:tc>
      </w:tr>
      <w:tr w14:paraId="2E46A70C">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120C4427">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69072E4E">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354E7B3C">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xml:space="preserve">5、用户区域：32 Bits </w:t>
            </w:r>
          </w:p>
        </w:tc>
        <w:tc>
          <w:tcPr>
            <w:tcW w:w="394" w:type="pct"/>
            <w:vMerge w:val="continue"/>
            <w:tcBorders>
              <w:top w:val="nil"/>
              <w:left w:val="single" w:color="auto" w:sz="4" w:space="0"/>
              <w:bottom w:val="single" w:color="auto" w:sz="4" w:space="0"/>
              <w:right w:val="single" w:color="auto" w:sz="4" w:space="0"/>
            </w:tcBorders>
            <w:vAlign w:val="center"/>
          </w:tcPr>
          <w:p w14:paraId="21567E6F">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75DBB5F9">
            <w:pPr>
              <w:widowControl/>
              <w:jc w:val="left"/>
              <w:rPr>
                <w:rFonts w:ascii="宋体" w:hAnsi="宋体" w:eastAsia="宋体" w:cs="宋体"/>
                <w:color w:val="000000"/>
                <w:kern w:val="0"/>
                <w:szCs w:val="21"/>
                <w14:ligatures w14:val="none"/>
              </w:rPr>
            </w:pPr>
          </w:p>
        </w:tc>
      </w:tr>
      <w:tr w14:paraId="099AF22F">
        <w:tblPrEx>
          <w:tblCellMar>
            <w:top w:w="0" w:type="dxa"/>
            <w:left w:w="108" w:type="dxa"/>
            <w:bottom w:w="0" w:type="dxa"/>
            <w:right w:w="108" w:type="dxa"/>
          </w:tblCellMar>
        </w:tblPrEx>
        <w:trPr>
          <w:trHeight w:val="333" w:hRule="atLeast"/>
        </w:trPr>
        <w:tc>
          <w:tcPr>
            <w:tcW w:w="316" w:type="pct"/>
            <w:vMerge w:val="continue"/>
            <w:tcBorders>
              <w:top w:val="nil"/>
              <w:left w:val="single" w:color="auto" w:sz="4" w:space="0"/>
              <w:bottom w:val="single" w:color="auto" w:sz="4" w:space="0"/>
              <w:right w:val="single" w:color="auto" w:sz="4" w:space="0"/>
            </w:tcBorders>
            <w:vAlign w:val="center"/>
          </w:tcPr>
          <w:p w14:paraId="5B944A05">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18E3416">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0736266E">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xml:space="preserve">6、ID：64 Bits </w:t>
            </w:r>
          </w:p>
        </w:tc>
        <w:tc>
          <w:tcPr>
            <w:tcW w:w="394" w:type="pct"/>
            <w:vMerge w:val="continue"/>
            <w:tcBorders>
              <w:top w:val="nil"/>
              <w:left w:val="single" w:color="auto" w:sz="4" w:space="0"/>
              <w:bottom w:val="single" w:color="auto" w:sz="4" w:space="0"/>
              <w:right w:val="single" w:color="auto" w:sz="4" w:space="0"/>
            </w:tcBorders>
            <w:vAlign w:val="center"/>
          </w:tcPr>
          <w:p w14:paraId="7F555466">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47A30CF7">
            <w:pPr>
              <w:widowControl/>
              <w:jc w:val="left"/>
              <w:rPr>
                <w:rFonts w:ascii="宋体" w:hAnsi="宋体" w:eastAsia="宋体" w:cs="宋体"/>
                <w:color w:val="000000"/>
                <w:kern w:val="0"/>
                <w:szCs w:val="21"/>
                <w14:ligatures w14:val="none"/>
              </w:rPr>
            </w:pPr>
          </w:p>
        </w:tc>
      </w:tr>
      <w:tr w14:paraId="6F748365">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128D70DF">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715CAE69">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28936434">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xml:space="preserve">7、读取距离（固定式读写器）：10-12 米 (金属表面 ) </w:t>
            </w:r>
          </w:p>
        </w:tc>
        <w:tc>
          <w:tcPr>
            <w:tcW w:w="394" w:type="pct"/>
            <w:vMerge w:val="continue"/>
            <w:tcBorders>
              <w:top w:val="nil"/>
              <w:left w:val="single" w:color="auto" w:sz="4" w:space="0"/>
              <w:bottom w:val="single" w:color="auto" w:sz="4" w:space="0"/>
              <w:right w:val="single" w:color="auto" w:sz="4" w:space="0"/>
            </w:tcBorders>
            <w:vAlign w:val="center"/>
          </w:tcPr>
          <w:p w14:paraId="51D0739D">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20EC3F7A">
            <w:pPr>
              <w:widowControl/>
              <w:jc w:val="left"/>
              <w:rPr>
                <w:rFonts w:ascii="宋体" w:hAnsi="宋体" w:eastAsia="宋体" w:cs="宋体"/>
                <w:color w:val="000000"/>
                <w:kern w:val="0"/>
                <w:szCs w:val="21"/>
                <w14:ligatures w14:val="none"/>
              </w:rPr>
            </w:pPr>
          </w:p>
        </w:tc>
      </w:tr>
      <w:tr w14:paraId="144C7174">
        <w:tblPrEx>
          <w:tblCellMar>
            <w:top w:w="0" w:type="dxa"/>
            <w:left w:w="108" w:type="dxa"/>
            <w:bottom w:w="0" w:type="dxa"/>
            <w:right w:w="108" w:type="dxa"/>
          </w:tblCellMar>
        </w:tblPrEx>
        <w:trPr>
          <w:trHeight w:val="657" w:hRule="atLeast"/>
        </w:trPr>
        <w:tc>
          <w:tcPr>
            <w:tcW w:w="316" w:type="pct"/>
            <w:vMerge w:val="continue"/>
            <w:tcBorders>
              <w:top w:val="nil"/>
              <w:left w:val="single" w:color="auto" w:sz="4" w:space="0"/>
              <w:bottom w:val="single" w:color="auto" w:sz="4" w:space="0"/>
              <w:right w:val="single" w:color="auto" w:sz="4" w:space="0"/>
            </w:tcBorders>
            <w:vAlign w:val="center"/>
          </w:tcPr>
          <w:p w14:paraId="6DB8CD8B">
            <w:pPr>
              <w:widowControl/>
              <w:jc w:val="left"/>
              <w:rPr>
                <w:rFonts w:ascii="宋体" w:hAnsi="宋体" w:eastAsia="宋体" w:cs="宋体"/>
                <w:color w:val="000000"/>
                <w:kern w:val="0"/>
                <w:szCs w:val="21"/>
                <w14:ligatures w14:val="none"/>
              </w:rPr>
            </w:pPr>
          </w:p>
        </w:tc>
        <w:tc>
          <w:tcPr>
            <w:tcW w:w="815" w:type="pct"/>
            <w:vMerge w:val="continue"/>
            <w:tcBorders>
              <w:top w:val="nil"/>
              <w:left w:val="single" w:color="auto" w:sz="4" w:space="0"/>
              <w:bottom w:val="single" w:color="auto" w:sz="4" w:space="0"/>
              <w:right w:val="single" w:color="auto" w:sz="4" w:space="0"/>
            </w:tcBorders>
            <w:vAlign w:val="center"/>
          </w:tcPr>
          <w:p w14:paraId="3E7EFD70">
            <w:pPr>
              <w:widowControl/>
              <w:jc w:val="left"/>
              <w:rPr>
                <w:rFonts w:ascii="宋体" w:hAnsi="宋体" w:eastAsia="宋体" w:cs="宋体"/>
                <w:color w:val="000000"/>
                <w:kern w:val="0"/>
                <w:szCs w:val="21"/>
                <w14:ligatures w14:val="none"/>
              </w:rPr>
            </w:pPr>
          </w:p>
        </w:tc>
        <w:tc>
          <w:tcPr>
            <w:tcW w:w="3155" w:type="pct"/>
            <w:tcBorders>
              <w:top w:val="nil"/>
              <w:left w:val="nil"/>
              <w:bottom w:val="single" w:color="auto" w:sz="4" w:space="0"/>
              <w:right w:val="single" w:color="auto" w:sz="4" w:space="0"/>
            </w:tcBorders>
            <w:shd w:val="clear" w:color="auto" w:fill="auto"/>
            <w:vAlign w:val="center"/>
          </w:tcPr>
          <w:p w14:paraId="20D96DC6">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8、读取距离（R2000 手持式读写器）：5-6 米 (金属表面 )</w:t>
            </w:r>
          </w:p>
        </w:tc>
        <w:tc>
          <w:tcPr>
            <w:tcW w:w="394" w:type="pct"/>
            <w:vMerge w:val="continue"/>
            <w:tcBorders>
              <w:top w:val="nil"/>
              <w:left w:val="single" w:color="auto" w:sz="4" w:space="0"/>
              <w:bottom w:val="single" w:color="auto" w:sz="4" w:space="0"/>
              <w:right w:val="single" w:color="auto" w:sz="4" w:space="0"/>
            </w:tcBorders>
            <w:vAlign w:val="center"/>
          </w:tcPr>
          <w:p w14:paraId="070C22D2">
            <w:pPr>
              <w:widowControl/>
              <w:jc w:val="left"/>
              <w:rPr>
                <w:rFonts w:ascii="宋体" w:hAnsi="宋体" w:eastAsia="宋体" w:cs="宋体"/>
                <w:color w:val="000000"/>
                <w:kern w:val="0"/>
                <w:szCs w:val="21"/>
                <w14:ligatures w14:val="none"/>
              </w:rPr>
            </w:pPr>
          </w:p>
        </w:tc>
        <w:tc>
          <w:tcPr>
            <w:tcW w:w="317" w:type="pct"/>
            <w:vMerge w:val="continue"/>
            <w:tcBorders>
              <w:top w:val="nil"/>
              <w:left w:val="single" w:color="auto" w:sz="4" w:space="0"/>
              <w:bottom w:val="single" w:color="auto" w:sz="4" w:space="0"/>
              <w:right w:val="single" w:color="auto" w:sz="4" w:space="0"/>
            </w:tcBorders>
            <w:vAlign w:val="center"/>
          </w:tcPr>
          <w:p w14:paraId="625D0AB1">
            <w:pPr>
              <w:widowControl/>
              <w:jc w:val="left"/>
              <w:rPr>
                <w:rFonts w:ascii="宋体" w:hAnsi="宋体" w:eastAsia="宋体" w:cs="宋体"/>
                <w:color w:val="000000"/>
                <w:kern w:val="0"/>
                <w:szCs w:val="21"/>
                <w14:ligatures w14:val="none"/>
              </w:rPr>
            </w:pPr>
          </w:p>
        </w:tc>
      </w:tr>
      <w:tr w14:paraId="54BB19B2">
        <w:tblPrEx>
          <w:tblCellMar>
            <w:top w:w="0" w:type="dxa"/>
            <w:left w:w="108" w:type="dxa"/>
            <w:bottom w:w="0" w:type="dxa"/>
            <w:right w:w="108" w:type="dxa"/>
          </w:tblCellMar>
        </w:tblPrEx>
        <w:trPr>
          <w:trHeight w:val="333" w:hRule="atLeast"/>
        </w:trPr>
        <w:tc>
          <w:tcPr>
            <w:tcW w:w="316" w:type="pct"/>
            <w:tcBorders>
              <w:top w:val="nil"/>
              <w:left w:val="single" w:color="auto" w:sz="4" w:space="0"/>
              <w:bottom w:val="single" w:color="auto" w:sz="4" w:space="0"/>
              <w:right w:val="single" w:color="auto" w:sz="4" w:space="0"/>
            </w:tcBorders>
            <w:shd w:val="clear" w:color="auto" w:fill="auto"/>
            <w:noWrap/>
            <w:vAlign w:val="bottom"/>
          </w:tcPr>
          <w:p w14:paraId="691A389D">
            <w:pPr>
              <w:widowControl/>
              <w:jc w:val="center"/>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6</w:t>
            </w:r>
          </w:p>
        </w:tc>
        <w:tc>
          <w:tcPr>
            <w:tcW w:w="815" w:type="pct"/>
            <w:tcBorders>
              <w:top w:val="nil"/>
              <w:left w:val="nil"/>
              <w:bottom w:val="single" w:color="auto" w:sz="4" w:space="0"/>
              <w:right w:val="single" w:color="auto" w:sz="4" w:space="0"/>
            </w:tcBorders>
            <w:shd w:val="clear" w:color="auto" w:fill="auto"/>
            <w:noWrap/>
            <w:vAlign w:val="bottom"/>
          </w:tcPr>
          <w:p w14:paraId="3267DCE5">
            <w:pPr>
              <w:widowControl/>
              <w:jc w:val="left"/>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单元小计</w:t>
            </w:r>
          </w:p>
        </w:tc>
        <w:tc>
          <w:tcPr>
            <w:tcW w:w="3155" w:type="pct"/>
            <w:tcBorders>
              <w:top w:val="nil"/>
              <w:left w:val="nil"/>
              <w:bottom w:val="single" w:color="auto" w:sz="4" w:space="0"/>
              <w:right w:val="single" w:color="auto" w:sz="4" w:space="0"/>
            </w:tcBorders>
            <w:shd w:val="clear" w:color="auto" w:fill="auto"/>
            <w:noWrap/>
            <w:vAlign w:val="bottom"/>
          </w:tcPr>
          <w:p w14:paraId="7DEE9661">
            <w:pPr>
              <w:widowControl/>
              <w:jc w:val="left"/>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　</w:t>
            </w:r>
          </w:p>
        </w:tc>
        <w:tc>
          <w:tcPr>
            <w:tcW w:w="394" w:type="pct"/>
            <w:tcBorders>
              <w:top w:val="nil"/>
              <w:left w:val="nil"/>
              <w:bottom w:val="single" w:color="auto" w:sz="4" w:space="0"/>
              <w:right w:val="single" w:color="auto" w:sz="4" w:space="0"/>
            </w:tcBorders>
            <w:shd w:val="clear" w:color="auto" w:fill="auto"/>
            <w:noWrap/>
            <w:vAlign w:val="bottom"/>
          </w:tcPr>
          <w:p w14:paraId="3C1B7A75">
            <w:pPr>
              <w:widowControl/>
              <w:jc w:val="left"/>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　</w:t>
            </w:r>
          </w:p>
        </w:tc>
        <w:tc>
          <w:tcPr>
            <w:tcW w:w="317" w:type="pct"/>
            <w:tcBorders>
              <w:top w:val="nil"/>
              <w:left w:val="nil"/>
              <w:bottom w:val="single" w:color="auto" w:sz="4" w:space="0"/>
              <w:right w:val="single" w:color="auto" w:sz="4" w:space="0"/>
            </w:tcBorders>
            <w:shd w:val="clear" w:color="auto" w:fill="auto"/>
            <w:noWrap/>
            <w:vAlign w:val="bottom"/>
          </w:tcPr>
          <w:p w14:paraId="2F7AAAC4">
            <w:pPr>
              <w:widowControl/>
              <w:jc w:val="left"/>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　</w:t>
            </w:r>
          </w:p>
        </w:tc>
      </w:tr>
      <w:tr w14:paraId="280BD93C">
        <w:tblPrEx>
          <w:tblCellMar>
            <w:top w:w="0" w:type="dxa"/>
            <w:left w:w="108" w:type="dxa"/>
            <w:bottom w:w="0" w:type="dxa"/>
            <w:right w:w="108" w:type="dxa"/>
          </w:tblCellMar>
        </w:tblPrEx>
        <w:trPr>
          <w:trHeight w:val="344" w:hRule="atLeast"/>
        </w:trPr>
        <w:tc>
          <w:tcPr>
            <w:tcW w:w="1131" w:type="pct"/>
            <w:gridSpan w:val="2"/>
            <w:tcBorders>
              <w:top w:val="single" w:color="auto" w:sz="4" w:space="0"/>
              <w:left w:val="single" w:color="auto" w:sz="4" w:space="0"/>
              <w:bottom w:val="single" w:color="auto" w:sz="4" w:space="0"/>
              <w:right w:val="single" w:color="auto" w:sz="4" w:space="0"/>
            </w:tcBorders>
            <w:shd w:val="clear" w:color="auto" w:fill="auto"/>
            <w:noWrap/>
            <w:vAlign w:val="bottom"/>
          </w:tcPr>
          <w:p w14:paraId="11150ECE">
            <w:pPr>
              <w:widowControl/>
              <w:jc w:val="center"/>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设备合计</w:t>
            </w:r>
          </w:p>
        </w:tc>
        <w:tc>
          <w:tcPr>
            <w:tcW w:w="3155" w:type="pct"/>
            <w:tcBorders>
              <w:top w:val="nil"/>
              <w:left w:val="nil"/>
              <w:bottom w:val="single" w:color="auto" w:sz="4" w:space="0"/>
              <w:right w:val="single" w:color="auto" w:sz="4" w:space="0"/>
            </w:tcBorders>
            <w:shd w:val="clear" w:color="auto" w:fill="auto"/>
            <w:noWrap/>
            <w:vAlign w:val="bottom"/>
          </w:tcPr>
          <w:p w14:paraId="0C221943">
            <w:pPr>
              <w:widowControl/>
              <w:jc w:val="left"/>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　</w:t>
            </w:r>
          </w:p>
        </w:tc>
        <w:tc>
          <w:tcPr>
            <w:tcW w:w="394" w:type="pct"/>
            <w:tcBorders>
              <w:top w:val="nil"/>
              <w:left w:val="nil"/>
              <w:bottom w:val="single" w:color="auto" w:sz="4" w:space="0"/>
              <w:right w:val="single" w:color="auto" w:sz="4" w:space="0"/>
            </w:tcBorders>
            <w:shd w:val="clear" w:color="auto" w:fill="auto"/>
            <w:noWrap/>
            <w:vAlign w:val="bottom"/>
          </w:tcPr>
          <w:p w14:paraId="0AD9AA13">
            <w:pPr>
              <w:widowControl/>
              <w:jc w:val="left"/>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　</w:t>
            </w:r>
          </w:p>
        </w:tc>
        <w:tc>
          <w:tcPr>
            <w:tcW w:w="317" w:type="pct"/>
            <w:tcBorders>
              <w:top w:val="nil"/>
              <w:left w:val="nil"/>
              <w:bottom w:val="single" w:color="auto" w:sz="4" w:space="0"/>
              <w:right w:val="single" w:color="auto" w:sz="4" w:space="0"/>
            </w:tcBorders>
            <w:shd w:val="clear" w:color="auto" w:fill="auto"/>
            <w:noWrap/>
            <w:vAlign w:val="bottom"/>
          </w:tcPr>
          <w:p w14:paraId="5F2E6646">
            <w:pPr>
              <w:widowControl/>
              <w:jc w:val="left"/>
              <w:rPr>
                <w:rFonts w:ascii="等线" w:hAnsi="等线" w:eastAsia="等线" w:cs="宋体"/>
                <w:b/>
                <w:bCs/>
                <w:color w:val="000000"/>
                <w:kern w:val="0"/>
                <w:sz w:val="22"/>
                <w14:ligatures w14:val="none"/>
              </w:rPr>
            </w:pPr>
            <w:r>
              <w:rPr>
                <w:rFonts w:hint="eastAsia" w:ascii="等线" w:hAnsi="等线" w:eastAsia="等线" w:cs="宋体"/>
                <w:b/>
                <w:bCs/>
                <w:color w:val="000000"/>
                <w:kern w:val="0"/>
                <w:sz w:val="22"/>
                <w14:ligatures w14:val="none"/>
              </w:rPr>
              <w:t>　</w:t>
            </w:r>
          </w:p>
        </w:tc>
      </w:tr>
    </w:tbl>
    <w:p w14:paraId="3FAD3623"/>
    <w:p w14:paraId="4BC41A41">
      <w:pPr>
        <w:pStyle w:val="2"/>
      </w:pPr>
    </w:p>
    <w:p w14:paraId="77C1EEFB"/>
    <w:p w14:paraId="44C3DA5A">
      <w:pPr>
        <w:pStyle w:val="2"/>
      </w:pPr>
    </w:p>
    <w:p w14:paraId="17402C2E"/>
    <w:p w14:paraId="4F13ED72">
      <w:pPr>
        <w:pStyle w:val="2"/>
      </w:pPr>
    </w:p>
    <w:p w14:paraId="0781469B"/>
    <w:p w14:paraId="5C549706">
      <w:pPr>
        <w:pStyle w:val="2"/>
      </w:pPr>
    </w:p>
    <w:p w14:paraId="07328907">
      <w:pPr>
        <w:pStyle w:val="3"/>
        <w:numPr>
          <w:numId w:val="0"/>
        </w:numPr>
        <w:ind w:leftChars="0"/>
        <w:rPr>
          <w:rFonts w:ascii="黑体" w:hAnsi="黑体" w:eastAsia="黑体"/>
        </w:rPr>
      </w:pPr>
      <w:bookmarkStart w:id="4" w:name="_Toc207125848"/>
      <w:bookmarkStart w:id="5" w:name="_Toc177721914"/>
      <w:r>
        <w:rPr>
          <w:rFonts w:hint="eastAsia" w:ascii="黑体" w:hAnsi="黑体" w:eastAsia="黑体"/>
        </w:rPr>
        <w:t>基础能力软件建设清单</w:t>
      </w:r>
      <w:bookmarkEnd w:id="4"/>
      <w:bookmarkEnd w:id="5"/>
    </w:p>
    <w:tbl>
      <w:tblPr>
        <w:tblStyle w:val="5"/>
        <w:tblW w:w="5032" w:type="pct"/>
        <w:tblInd w:w="0" w:type="dxa"/>
        <w:tblLayout w:type="autofit"/>
        <w:tblCellMar>
          <w:top w:w="0" w:type="dxa"/>
          <w:left w:w="108" w:type="dxa"/>
          <w:bottom w:w="0" w:type="dxa"/>
          <w:right w:w="108" w:type="dxa"/>
        </w:tblCellMar>
      </w:tblPr>
      <w:tblGrid>
        <w:gridCol w:w="551"/>
        <w:gridCol w:w="673"/>
        <w:gridCol w:w="654"/>
        <w:gridCol w:w="659"/>
        <w:gridCol w:w="661"/>
        <w:gridCol w:w="659"/>
        <w:gridCol w:w="4720"/>
      </w:tblGrid>
      <w:tr w14:paraId="736B2916">
        <w:tblPrEx>
          <w:tblCellMar>
            <w:top w:w="0" w:type="dxa"/>
            <w:left w:w="108" w:type="dxa"/>
            <w:bottom w:w="0" w:type="dxa"/>
            <w:right w:w="108" w:type="dxa"/>
          </w:tblCellMar>
        </w:tblPrEx>
        <w:trPr>
          <w:trHeight w:val="1251" w:hRule="atLeast"/>
        </w:trPr>
        <w:tc>
          <w:tcPr>
            <w:tcW w:w="321" w:type="pct"/>
            <w:tcBorders>
              <w:top w:val="single" w:color="auto" w:sz="4" w:space="0"/>
              <w:left w:val="single" w:color="auto" w:sz="4" w:space="0"/>
              <w:bottom w:val="single" w:color="auto" w:sz="4" w:space="0"/>
              <w:right w:val="single" w:color="auto" w:sz="4" w:space="0"/>
            </w:tcBorders>
            <w:shd w:val="clear" w:color="auto" w:fill="auto"/>
            <w:vAlign w:val="center"/>
          </w:tcPr>
          <w:p w14:paraId="49A74DA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序号</w:t>
            </w:r>
          </w:p>
        </w:tc>
        <w:tc>
          <w:tcPr>
            <w:tcW w:w="392" w:type="pct"/>
            <w:tcBorders>
              <w:top w:val="single" w:color="auto" w:sz="4" w:space="0"/>
              <w:left w:val="nil"/>
              <w:bottom w:val="single" w:color="auto" w:sz="4" w:space="0"/>
              <w:right w:val="single" w:color="auto" w:sz="4" w:space="0"/>
            </w:tcBorders>
            <w:shd w:val="clear" w:color="auto" w:fill="auto"/>
            <w:vAlign w:val="center"/>
          </w:tcPr>
          <w:p w14:paraId="46CF05D1">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软件板块</w:t>
            </w:r>
          </w:p>
        </w:tc>
        <w:tc>
          <w:tcPr>
            <w:tcW w:w="381" w:type="pct"/>
            <w:tcBorders>
              <w:top w:val="single" w:color="auto" w:sz="4" w:space="0"/>
              <w:left w:val="nil"/>
              <w:bottom w:val="single" w:color="auto" w:sz="4" w:space="0"/>
              <w:right w:val="single" w:color="auto" w:sz="4" w:space="0"/>
            </w:tcBorders>
            <w:shd w:val="clear" w:color="auto" w:fill="auto"/>
            <w:vAlign w:val="center"/>
          </w:tcPr>
          <w:p w14:paraId="5FAA3DA3">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系统名称</w:t>
            </w:r>
          </w:p>
        </w:tc>
        <w:tc>
          <w:tcPr>
            <w:tcW w:w="384" w:type="pct"/>
            <w:tcBorders>
              <w:top w:val="single" w:color="auto" w:sz="4" w:space="0"/>
              <w:left w:val="nil"/>
              <w:bottom w:val="single" w:color="auto" w:sz="4" w:space="0"/>
              <w:right w:val="single" w:color="auto" w:sz="4" w:space="0"/>
            </w:tcBorders>
            <w:shd w:val="clear" w:color="auto" w:fill="auto"/>
            <w:vAlign w:val="center"/>
          </w:tcPr>
          <w:p w14:paraId="64FCF718">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一级功能</w:t>
            </w:r>
          </w:p>
        </w:tc>
        <w:tc>
          <w:tcPr>
            <w:tcW w:w="384" w:type="pct"/>
            <w:tcBorders>
              <w:top w:val="single" w:color="auto" w:sz="4" w:space="0"/>
              <w:left w:val="nil"/>
              <w:bottom w:val="single" w:color="auto" w:sz="4" w:space="0"/>
              <w:right w:val="single" w:color="auto" w:sz="4" w:space="0"/>
            </w:tcBorders>
            <w:shd w:val="clear" w:color="auto" w:fill="auto"/>
            <w:vAlign w:val="center"/>
          </w:tcPr>
          <w:p w14:paraId="068DE85D">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二级功能</w:t>
            </w:r>
          </w:p>
        </w:tc>
        <w:tc>
          <w:tcPr>
            <w:tcW w:w="384" w:type="pct"/>
            <w:tcBorders>
              <w:top w:val="single" w:color="auto" w:sz="4" w:space="0"/>
              <w:left w:val="nil"/>
              <w:bottom w:val="single" w:color="auto" w:sz="4" w:space="0"/>
              <w:right w:val="single" w:color="auto" w:sz="4" w:space="0"/>
            </w:tcBorders>
            <w:shd w:val="clear" w:color="auto" w:fill="auto"/>
            <w:vAlign w:val="center"/>
          </w:tcPr>
          <w:p w14:paraId="0C9E29E4">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三级功能</w:t>
            </w:r>
          </w:p>
        </w:tc>
        <w:tc>
          <w:tcPr>
            <w:tcW w:w="2750" w:type="pct"/>
            <w:tcBorders>
              <w:top w:val="single" w:color="auto" w:sz="4" w:space="0"/>
              <w:left w:val="nil"/>
              <w:bottom w:val="single" w:color="auto" w:sz="4" w:space="0"/>
              <w:right w:val="single" w:color="auto" w:sz="4" w:space="0"/>
            </w:tcBorders>
            <w:shd w:val="clear" w:color="auto" w:fill="auto"/>
            <w:vAlign w:val="center"/>
          </w:tcPr>
          <w:p w14:paraId="6EBEFE75">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功能描述</w:t>
            </w:r>
          </w:p>
        </w:tc>
      </w:tr>
      <w:tr w14:paraId="55CC989C">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20104A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w:t>
            </w:r>
          </w:p>
        </w:tc>
        <w:tc>
          <w:tcPr>
            <w:tcW w:w="392" w:type="pct"/>
            <w:vMerge w:val="restart"/>
            <w:tcBorders>
              <w:top w:val="nil"/>
              <w:left w:val="single" w:color="auto" w:sz="4" w:space="0"/>
              <w:bottom w:val="single" w:color="000000" w:sz="4" w:space="0"/>
              <w:right w:val="single" w:color="auto" w:sz="4" w:space="0"/>
            </w:tcBorders>
            <w:shd w:val="clear" w:color="auto" w:fill="auto"/>
            <w:vAlign w:val="center"/>
          </w:tcPr>
          <w:p w14:paraId="1E0CECA6">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基础能力软件建设</w:t>
            </w:r>
          </w:p>
        </w:tc>
        <w:tc>
          <w:tcPr>
            <w:tcW w:w="381" w:type="pct"/>
            <w:vMerge w:val="restart"/>
            <w:tcBorders>
              <w:top w:val="nil"/>
              <w:left w:val="single" w:color="auto" w:sz="4" w:space="0"/>
              <w:bottom w:val="single" w:color="000000" w:sz="4" w:space="0"/>
              <w:right w:val="single" w:color="auto" w:sz="4" w:space="0"/>
            </w:tcBorders>
            <w:shd w:val="clear" w:color="auto" w:fill="auto"/>
            <w:vAlign w:val="center"/>
          </w:tcPr>
          <w:p w14:paraId="617FA78A">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智慧管控平台数字底座</w:t>
            </w: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588287DF">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数据管理中台</w:t>
            </w:r>
          </w:p>
        </w:tc>
        <w:tc>
          <w:tcPr>
            <w:tcW w:w="384" w:type="pct"/>
            <w:vMerge w:val="restart"/>
            <w:tcBorders>
              <w:top w:val="nil"/>
              <w:left w:val="single" w:color="auto" w:sz="4" w:space="0"/>
              <w:bottom w:val="single" w:color="000000" w:sz="4" w:space="0"/>
              <w:right w:val="single" w:color="auto" w:sz="4" w:space="0"/>
            </w:tcBorders>
            <w:shd w:val="clear" w:color="auto" w:fill="auto"/>
            <w:vAlign w:val="center"/>
          </w:tcPr>
          <w:p w14:paraId="5359F77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数据管理门户</w:t>
            </w:r>
          </w:p>
        </w:tc>
        <w:tc>
          <w:tcPr>
            <w:tcW w:w="384" w:type="pct"/>
            <w:tcBorders>
              <w:top w:val="nil"/>
              <w:left w:val="nil"/>
              <w:bottom w:val="single" w:color="auto" w:sz="4" w:space="0"/>
              <w:right w:val="single" w:color="auto" w:sz="4" w:space="0"/>
            </w:tcBorders>
            <w:shd w:val="clear" w:color="auto" w:fill="auto"/>
            <w:vAlign w:val="center"/>
          </w:tcPr>
          <w:p w14:paraId="276B4B5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登录</w:t>
            </w:r>
          </w:p>
        </w:tc>
        <w:tc>
          <w:tcPr>
            <w:tcW w:w="2750" w:type="pct"/>
            <w:tcBorders>
              <w:top w:val="nil"/>
              <w:left w:val="nil"/>
              <w:bottom w:val="single" w:color="auto" w:sz="4" w:space="0"/>
              <w:right w:val="single" w:color="auto" w:sz="4" w:space="0"/>
            </w:tcBorders>
            <w:shd w:val="clear" w:color="auto" w:fill="auto"/>
            <w:vAlign w:val="center"/>
          </w:tcPr>
          <w:p w14:paraId="03A74B9E">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通过数据中台门户，用户可以直接访问到针对本企业经营发展状况的各种数据分析报表或报告，用户可根据实际需求设置门户进入首页，关注指标和报表等，并可定制常用报表快速浏览到日常所需报表，个性定制，一人一门户。</w:t>
            </w:r>
          </w:p>
        </w:tc>
      </w:tr>
      <w:tr w14:paraId="060F9666">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16D0E5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w:t>
            </w:r>
          </w:p>
        </w:tc>
        <w:tc>
          <w:tcPr>
            <w:tcW w:w="392" w:type="pct"/>
            <w:vMerge w:val="continue"/>
            <w:tcBorders>
              <w:top w:val="nil"/>
              <w:left w:val="single" w:color="auto" w:sz="4" w:space="0"/>
              <w:bottom w:val="single" w:color="000000" w:sz="4" w:space="0"/>
              <w:right w:val="single" w:color="auto" w:sz="4" w:space="0"/>
            </w:tcBorders>
            <w:vAlign w:val="center"/>
          </w:tcPr>
          <w:p w14:paraId="5E198B86">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370ACC3">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425C70BE">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760CFDCD">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3CF23B3E">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首页</w:t>
            </w:r>
          </w:p>
        </w:tc>
        <w:tc>
          <w:tcPr>
            <w:tcW w:w="2750" w:type="pct"/>
            <w:tcBorders>
              <w:top w:val="nil"/>
              <w:left w:val="nil"/>
              <w:bottom w:val="single" w:color="auto" w:sz="4" w:space="0"/>
              <w:right w:val="single" w:color="auto" w:sz="4" w:space="0"/>
            </w:tcBorders>
            <w:shd w:val="clear" w:color="auto" w:fill="auto"/>
            <w:vAlign w:val="center"/>
          </w:tcPr>
          <w:p w14:paraId="09D3D5E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通过门户左侧导航可以从任意报表的浏览状态轻松切换到首页，可以快速查看到权限范围的所有报表 ，还可以切换查看现在已经打开的报表。同时，还可以实现搜索，门户的注销、退出以及基本设置等。</w:t>
            </w:r>
          </w:p>
        </w:tc>
      </w:tr>
      <w:tr w14:paraId="59193285">
        <w:tblPrEx>
          <w:tblCellMar>
            <w:top w:w="0" w:type="dxa"/>
            <w:left w:w="108" w:type="dxa"/>
            <w:bottom w:w="0" w:type="dxa"/>
            <w:right w:w="108" w:type="dxa"/>
          </w:tblCellMar>
        </w:tblPrEx>
        <w:trPr>
          <w:trHeight w:val="2803"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CDA74F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w:t>
            </w:r>
          </w:p>
        </w:tc>
        <w:tc>
          <w:tcPr>
            <w:tcW w:w="392" w:type="pct"/>
            <w:vMerge w:val="continue"/>
            <w:tcBorders>
              <w:top w:val="nil"/>
              <w:left w:val="single" w:color="auto" w:sz="4" w:space="0"/>
              <w:bottom w:val="single" w:color="000000" w:sz="4" w:space="0"/>
              <w:right w:val="single" w:color="auto" w:sz="4" w:space="0"/>
            </w:tcBorders>
            <w:vAlign w:val="center"/>
          </w:tcPr>
          <w:p w14:paraId="1087D77E">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97259C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79644F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782D3C8D">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26E0E913">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角色权限管理</w:t>
            </w:r>
          </w:p>
        </w:tc>
        <w:tc>
          <w:tcPr>
            <w:tcW w:w="2750" w:type="pct"/>
            <w:tcBorders>
              <w:top w:val="nil"/>
              <w:left w:val="nil"/>
              <w:bottom w:val="single" w:color="auto" w:sz="4" w:space="0"/>
              <w:right w:val="single" w:color="auto" w:sz="4" w:space="0"/>
            </w:tcBorders>
            <w:shd w:val="clear" w:color="auto" w:fill="auto"/>
            <w:vAlign w:val="center"/>
          </w:tcPr>
          <w:p w14:paraId="6DC4F78F">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提供完整的角色权限控制，系统用户权限采用基于角色的控制管理，将权限赋予角色，将角色赋予用户，就可以批量实现用户权限管理。在此角色权限管理体系下，可以针对应用的所有菜单页面提供权限控制，给予正常、禁用、隐藏等不同的页面查看权限和操作权限。应用角色权限管理支持自定义角色，满足应用管理个性化的需要。</w:t>
            </w:r>
          </w:p>
        </w:tc>
      </w:tr>
      <w:tr w14:paraId="0E140EAE">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04CBAEFC">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w:t>
            </w:r>
          </w:p>
        </w:tc>
        <w:tc>
          <w:tcPr>
            <w:tcW w:w="392" w:type="pct"/>
            <w:vMerge w:val="continue"/>
            <w:tcBorders>
              <w:top w:val="nil"/>
              <w:left w:val="single" w:color="auto" w:sz="4" w:space="0"/>
              <w:bottom w:val="single" w:color="000000" w:sz="4" w:space="0"/>
              <w:right w:val="single" w:color="auto" w:sz="4" w:space="0"/>
            </w:tcBorders>
            <w:vAlign w:val="center"/>
          </w:tcPr>
          <w:p w14:paraId="0C75020F">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2C9F49A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DD3D52C">
            <w:pPr>
              <w:widowControl/>
              <w:jc w:val="left"/>
              <w:rPr>
                <w:rFonts w:ascii="宋体" w:hAnsi="宋体" w:eastAsia="宋体" w:cs="宋体"/>
                <w:color w:val="000000"/>
                <w:kern w:val="0"/>
                <w:sz w:val="20"/>
                <w:szCs w:val="20"/>
                <w14:ligatures w14:val="none"/>
              </w:rPr>
            </w:pPr>
          </w:p>
        </w:tc>
        <w:tc>
          <w:tcPr>
            <w:tcW w:w="768" w:type="pct"/>
            <w:gridSpan w:val="2"/>
            <w:tcBorders>
              <w:top w:val="single" w:color="auto" w:sz="4" w:space="0"/>
              <w:left w:val="nil"/>
              <w:bottom w:val="single" w:color="auto" w:sz="4" w:space="0"/>
              <w:right w:val="single" w:color="000000" w:sz="4" w:space="0"/>
            </w:tcBorders>
            <w:shd w:val="clear" w:color="auto" w:fill="auto"/>
            <w:vAlign w:val="center"/>
          </w:tcPr>
          <w:p w14:paraId="5BB22E03">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报表管理</w:t>
            </w:r>
          </w:p>
        </w:tc>
        <w:tc>
          <w:tcPr>
            <w:tcW w:w="2750" w:type="pct"/>
            <w:tcBorders>
              <w:top w:val="nil"/>
              <w:left w:val="nil"/>
              <w:bottom w:val="single" w:color="auto" w:sz="4" w:space="0"/>
              <w:right w:val="single" w:color="auto" w:sz="4" w:space="0"/>
            </w:tcBorders>
            <w:shd w:val="clear" w:color="auto" w:fill="auto"/>
            <w:vAlign w:val="center"/>
          </w:tcPr>
          <w:p w14:paraId="18D0025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根据报表主题，在数据库的原始数据的基础上，提取原始的数据，依据定义的报表算法，进行自动计算；在提取报表主题及算法运算的过程中，报表引擎依据定义各种参数，实现所需的运算，提供丰富的分析报表呈现。</w:t>
            </w:r>
          </w:p>
        </w:tc>
      </w:tr>
      <w:tr w14:paraId="1315D744">
        <w:tblPrEx>
          <w:tblCellMar>
            <w:top w:w="0" w:type="dxa"/>
            <w:left w:w="108" w:type="dxa"/>
            <w:bottom w:w="0" w:type="dxa"/>
            <w:right w:w="108" w:type="dxa"/>
          </w:tblCellMar>
        </w:tblPrEx>
        <w:trPr>
          <w:trHeight w:val="156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6928C6E4">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5</w:t>
            </w:r>
          </w:p>
        </w:tc>
        <w:tc>
          <w:tcPr>
            <w:tcW w:w="392" w:type="pct"/>
            <w:vMerge w:val="continue"/>
            <w:tcBorders>
              <w:top w:val="nil"/>
              <w:left w:val="single" w:color="auto" w:sz="4" w:space="0"/>
              <w:bottom w:val="single" w:color="000000" w:sz="4" w:space="0"/>
              <w:right w:val="single" w:color="auto" w:sz="4" w:space="0"/>
            </w:tcBorders>
            <w:vAlign w:val="center"/>
          </w:tcPr>
          <w:p w14:paraId="2A180B48">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2772CAD">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295F2A6E">
            <w:pPr>
              <w:widowControl/>
              <w:jc w:val="left"/>
              <w:rPr>
                <w:rFonts w:ascii="宋体" w:hAnsi="宋体" w:eastAsia="宋体" w:cs="宋体"/>
                <w:color w:val="000000"/>
                <w:kern w:val="0"/>
                <w:sz w:val="20"/>
                <w:szCs w:val="20"/>
                <w14:ligatures w14:val="none"/>
              </w:rPr>
            </w:pPr>
          </w:p>
        </w:tc>
        <w:tc>
          <w:tcPr>
            <w:tcW w:w="768" w:type="pct"/>
            <w:gridSpan w:val="2"/>
            <w:tcBorders>
              <w:top w:val="single" w:color="auto" w:sz="4" w:space="0"/>
              <w:left w:val="nil"/>
              <w:bottom w:val="single" w:color="auto" w:sz="4" w:space="0"/>
              <w:right w:val="single" w:color="000000" w:sz="4" w:space="0"/>
            </w:tcBorders>
            <w:shd w:val="clear" w:color="auto" w:fill="auto"/>
            <w:vAlign w:val="center"/>
          </w:tcPr>
          <w:p w14:paraId="435AC436">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数据来源管理</w:t>
            </w:r>
          </w:p>
        </w:tc>
        <w:tc>
          <w:tcPr>
            <w:tcW w:w="2750" w:type="pct"/>
            <w:tcBorders>
              <w:top w:val="nil"/>
              <w:left w:val="nil"/>
              <w:bottom w:val="single" w:color="auto" w:sz="4" w:space="0"/>
              <w:right w:val="single" w:color="auto" w:sz="4" w:space="0"/>
            </w:tcBorders>
            <w:shd w:val="clear" w:color="auto" w:fill="auto"/>
            <w:vAlign w:val="center"/>
          </w:tcPr>
          <w:p w14:paraId="276D8F3A">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数据来源多样，支持外部数据采集，通过可视化数据收集器进行收集路径汇总路径。支持报表图形多样化呈现（可穿透），支持数据加解密，需通过二次认证方可导出、查看数据。</w:t>
            </w:r>
          </w:p>
        </w:tc>
      </w:tr>
      <w:tr w14:paraId="0860108F">
        <w:tblPrEx>
          <w:tblCellMar>
            <w:top w:w="0" w:type="dxa"/>
            <w:left w:w="108" w:type="dxa"/>
            <w:bottom w:w="0" w:type="dxa"/>
            <w:right w:w="108" w:type="dxa"/>
          </w:tblCellMar>
        </w:tblPrEx>
        <w:trPr>
          <w:trHeight w:val="156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3D51D54">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6</w:t>
            </w:r>
          </w:p>
        </w:tc>
        <w:tc>
          <w:tcPr>
            <w:tcW w:w="392" w:type="pct"/>
            <w:vMerge w:val="continue"/>
            <w:tcBorders>
              <w:top w:val="nil"/>
              <w:left w:val="single" w:color="auto" w:sz="4" w:space="0"/>
              <w:bottom w:val="single" w:color="000000" w:sz="4" w:space="0"/>
              <w:right w:val="single" w:color="auto" w:sz="4" w:space="0"/>
            </w:tcBorders>
            <w:vAlign w:val="center"/>
          </w:tcPr>
          <w:p w14:paraId="794BDB34">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6B630086">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1537CA9">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20A0BDE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多源数据支持</w:t>
            </w:r>
          </w:p>
        </w:tc>
        <w:tc>
          <w:tcPr>
            <w:tcW w:w="384" w:type="pct"/>
            <w:tcBorders>
              <w:top w:val="nil"/>
              <w:left w:val="nil"/>
              <w:bottom w:val="single" w:color="auto" w:sz="4" w:space="0"/>
              <w:right w:val="single" w:color="auto" w:sz="4" w:space="0"/>
            </w:tcBorders>
            <w:shd w:val="clear" w:color="auto" w:fill="auto"/>
            <w:vAlign w:val="center"/>
          </w:tcPr>
          <w:p w14:paraId="73C60EB0">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平台内连接</w:t>
            </w:r>
          </w:p>
        </w:tc>
        <w:tc>
          <w:tcPr>
            <w:tcW w:w="2750" w:type="pct"/>
            <w:tcBorders>
              <w:top w:val="nil"/>
              <w:left w:val="nil"/>
              <w:bottom w:val="single" w:color="auto" w:sz="4" w:space="0"/>
              <w:right w:val="single" w:color="auto" w:sz="4" w:space="0"/>
            </w:tcBorders>
            <w:shd w:val="clear" w:color="auto" w:fill="auto"/>
            <w:vAlign w:val="center"/>
          </w:tcPr>
          <w:p w14:paraId="32998396">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数据中台可以连接本项目构建的合同、资产、项目等各种业务应用，形成各种可视化的数据看板，方便用户直观掌握企业单位的各项经营数据指标；也可以连接平台所有的业务表单。</w:t>
            </w:r>
            <w:r>
              <w:rPr>
                <w:rFonts w:hint="eastAsia" w:ascii="宋体" w:hAnsi="宋体" w:eastAsia="宋体" w:cs="宋体"/>
                <w:color w:val="000000"/>
                <w:kern w:val="0"/>
                <w:sz w:val="20"/>
                <w:szCs w:val="20"/>
                <w14:ligatures w14:val="none"/>
              </w:rPr>
              <w:br w:type="textWrapping"/>
            </w:r>
            <w:r>
              <w:rPr>
                <w:rFonts w:hint="eastAsia" w:ascii="宋体" w:hAnsi="宋体" w:eastAsia="宋体" w:cs="宋体"/>
                <w:color w:val="000000"/>
                <w:kern w:val="0"/>
                <w:sz w:val="20"/>
                <w:szCs w:val="20"/>
                <w14:ligatures w14:val="none"/>
              </w:rPr>
              <w:t>所有的报表与看板数据，都支持数据钻取，可穿透至原始流程、模块明细信息或建模卡片。</w:t>
            </w:r>
          </w:p>
        </w:tc>
      </w:tr>
      <w:tr w14:paraId="6B4FA1B5">
        <w:tblPrEx>
          <w:tblCellMar>
            <w:top w:w="0" w:type="dxa"/>
            <w:left w:w="108" w:type="dxa"/>
            <w:bottom w:w="0" w:type="dxa"/>
            <w:right w:w="108" w:type="dxa"/>
          </w:tblCellMar>
        </w:tblPrEx>
        <w:trPr>
          <w:trHeight w:val="3734"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439A81BF">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7</w:t>
            </w:r>
          </w:p>
        </w:tc>
        <w:tc>
          <w:tcPr>
            <w:tcW w:w="392" w:type="pct"/>
            <w:vMerge w:val="continue"/>
            <w:tcBorders>
              <w:top w:val="nil"/>
              <w:left w:val="single" w:color="auto" w:sz="4" w:space="0"/>
              <w:bottom w:val="single" w:color="000000" w:sz="4" w:space="0"/>
              <w:right w:val="single" w:color="auto" w:sz="4" w:space="0"/>
            </w:tcBorders>
            <w:vAlign w:val="center"/>
          </w:tcPr>
          <w:p w14:paraId="750CC20C">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14010E3">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CEA70A2">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4D19F1CD">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11E9262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平台外连接</w:t>
            </w:r>
          </w:p>
        </w:tc>
        <w:tc>
          <w:tcPr>
            <w:tcW w:w="2750" w:type="pct"/>
            <w:tcBorders>
              <w:top w:val="nil"/>
              <w:left w:val="nil"/>
              <w:bottom w:val="single" w:color="auto" w:sz="4" w:space="0"/>
              <w:right w:val="single" w:color="auto" w:sz="4" w:space="0"/>
            </w:tcBorders>
            <w:shd w:val="clear" w:color="auto" w:fill="auto"/>
            <w:vAlign w:val="center"/>
          </w:tcPr>
          <w:p w14:paraId="772D4562">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数据中台支持多种数据源配置，包括各类应用和表单，同时支持第三方的数据接入：可通过多种接入形式，包括数据库直连、接口或ESB总线接入；应支持多种数据库格式，SQL server、oracle、国产数据库等；应支持复杂的数据模型，可进行多表联动，并设定表间关联关系；应支持连接第三方系统数据，通过集成中心建立的外部数据源或者连接第三方系统提供的接口展现数据，形成汇总统计表展现第三方异构系统数据。</w:t>
            </w:r>
          </w:p>
        </w:tc>
      </w:tr>
      <w:tr w14:paraId="36840932">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273E97D">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8</w:t>
            </w:r>
          </w:p>
        </w:tc>
        <w:tc>
          <w:tcPr>
            <w:tcW w:w="392" w:type="pct"/>
            <w:vMerge w:val="continue"/>
            <w:tcBorders>
              <w:top w:val="nil"/>
              <w:left w:val="single" w:color="auto" w:sz="4" w:space="0"/>
              <w:bottom w:val="single" w:color="000000" w:sz="4" w:space="0"/>
              <w:right w:val="single" w:color="auto" w:sz="4" w:space="0"/>
            </w:tcBorders>
            <w:vAlign w:val="center"/>
          </w:tcPr>
          <w:p w14:paraId="2D5D4335">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726F4A1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4776E0C">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306A252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数据质量管理</w:t>
            </w:r>
          </w:p>
        </w:tc>
        <w:tc>
          <w:tcPr>
            <w:tcW w:w="384" w:type="pct"/>
            <w:tcBorders>
              <w:top w:val="nil"/>
              <w:left w:val="nil"/>
              <w:bottom w:val="single" w:color="auto" w:sz="4" w:space="0"/>
              <w:right w:val="single" w:color="auto" w:sz="4" w:space="0"/>
            </w:tcBorders>
            <w:shd w:val="clear" w:color="auto" w:fill="auto"/>
            <w:vAlign w:val="center"/>
          </w:tcPr>
          <w:p w14:paraId="51D6FF6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质量监测预警</w:t>
            </w:r>
          </w:p>
        </w:tc>
        <w:tc>
          <w:tcPr>
            <w:tcW w:w="2750" w:type="pct"/>
            <w:tcBorders>
              <w:top w:val="nil"/>
              <w:left w:val="nil"/>
              <w:bottom w:val="single" w:color="auto" w:sz="4" w:space="0"/>
              <w:right w:val="single" w:color="auto" w:sz="4" w:space="0"/>
            </w:tcBorders>
            <w:shd w:val="clear" w:color="auto" w:fill="auto"/>
            <w:vAlign w:val="center"/>
          </w:tcPr>
          <w:p w14:paraId="0BF9F8B9">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利用数据质量管理工具，对数据进行实时监控。设置数据质量阈值，当指标超出阈值范围时，自动触发预警机制，通过邮件、短信等方式通知相关责任人。对于合同数据中金额字段缺失率超过 5%，及时发出告警，以便及时处理。</w:t>
            </w:r>
          </w:p>
        </w:tc>
      </w:tr>
      <w:tr w14:paraId="31A11829">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E4AB0F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9</w:t>
            </w:r>
          </w:p>
        </w:tc>
        <w:tc>
          <w:tcPr>
            <w:tcW w:w="392" w:type="pct"/>
            <w:vMerge w:val="continue"/>
            <w:tcBorders>
              <w:top w:val="nil"/>
              <w:left w:val="single" w:color="auto" w:sz="4" w:space="0"/>
              <w:bottom w:val="single" w:color="000000" w:sz="4" w:space="0"/>
              <w:right w:val="single" w:color="auto" w:sz="4" w:space="0"/>
            </w:tcBorders>
            <w:vAlign w:val="center"/>
          </w:tcPr>
          <w:p w14:paraId="69086588">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55A31F6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1731444">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A6408B1">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038C0C3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质量问题修复</w:t>
            </w:r>
          </w:p>
        </w:tc>
        <w:tc>
          <w:tcPr>
            <w:tcW w:w="2750" w:type="pct"/>
            <w:tcBorders>
              <w:top w:val="nil"/>
              <w:left w:val="nil"/>
              <w:bottom w:val="single" w:color="auto" w:sz="4" w:space="0"/>
              <w:right w:val="single" w:color="auto" w:sz="4" w:space="0"/>
            </w:tcBorders>
            <w:shd w:val="clear" w:color="auto" w:fill="auto"/>
            <w:vAlign w:val="center"/>
          </w:tcPr>
          <w:p w14:paraId="1D4861D8">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建立数据质量问题处理流程，对于发现的数据质量问题，明确责任部门与处理时限。对于错误或缺失的数据，通过数据追溯找到源头，进行修正与补充。同时，分析问题产生的原因，制定预防措施，避免类似问题再次发生。</w:t>
            </w:r>
          </w:p>
        </w:tc>
      </w:tr>
      <w:tr w14:paraId="2230CC8D">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8BE7C3D">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10</w:t>
            </w:r>
          </w:p>
        </w:tc>
        <w:tc>
          <w:tcPr>
            <w:tcW w:w="392" w:type="pct"/>
            <w:vMerge w:val="continue"/>
            <w:tcBorders>
              <w:top w:val="nil"/>
              <w:left w:val="single" w:color="auto" w:sz="4" w:space="0"/>
              <w:bottom w:val="single" w:color="000000" w:sz="4" w:space="0"/>
              <w:right w:val="single" w:color="auto" w:sz="4" w:space="0"/>
            </w:tcBorders>
            <w:vAlign w:val="center"/>
          </w:tcPr>
          <w:p w14:paraId="55637FEA">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188733F">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4A6EA58">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00EFD31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数据安全管理</w:t>
            </w:r>
          </w:p>
        </w:tc>
        <w:tc>
          <w:tcPr>
            <w:tcW w:w="384" w:type="pct"/>
            <w:tcBorders>
              <w:top w:val="nil"/>
              <w:left w:val="nil"/>
              <w:bottom w:val="single" w:color="auto" w:sz="4" w:space="0"/>
              <w:right w:val="single" w:color="auto" w:sz="4" w:space="0"/>
            </w:tcBorders>
            <w:shd w:val="clear" w:color="auto" w:fill="auto"/>
            <w:vAlign w:val="center"/>
          </w:tcPr>
          <w:p w14:paraId="10CE2A5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数据分类分级</w:t>
            </w:r>
          </w:p>
        </w:tc>
        <w:tc>
          <w:tcPr>
            <w:tcW w:w="2750" w:type="pct"/>
            <w:tcBorders>
              <w:top w:val="nil"/>
              <w:left w:val="nil"/>
              <w:bottom w:val="single" w:color="auto" w:sz="4" w:space="0"/>
              <w:right w:val="single" w:color="auto" w:sz="4" w:space="0"/>
            </w:tcBorders>
            <w:shd w:val="clear" w:color="auto" w:fill="auto"/>
            <w:vAlign w:val="center"/>
          </w:tcPr>
          <w:p w14:paraId="636C748C">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依据数据的敏感程度与重要性，对数据进行分类分级。将合同数据、财务数据、客户信息等列为敏感数据，分为高、中、低不同安全级别。针对不同级别的数据，制定相应的安全防护策略。</w:t>
            </w:r>
          </w:p>
        </w:tc>
      </w:tr>
      <w:tr w14:paraId="79FC965D">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9C9DE50">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11</w:t>
            </w:r>
          </w:p>
        </w:tc>
        <w:tc>
          <w:tcPr>
            <w:tcW w:w="392" w:type="pct"/>
            <w:vMerge w:val="continue"/>
            <w:tcBorders>
              <w:top w:val="nil"/>
              <w:left w:val="single" w:color="auto" w:sz="4" w:space="0"/>
              <w:bottom w:val="single" w:color="000000" w:sz="4" w:space="0"/>
              <w:right w:val="single" w:color="auto" w:sz="4" w:space="0"/>
            </w:tcBorders>
            <w:vAlign w:val="center"/>
          </w:tcPr>
          <w:p w14:paraId="0E9930DA">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E284DDD">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1823BA9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442C1B0">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3BD4AA6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访问控制</w:t>
            </w:r>
          </w:p>
        </w:tc>
        <w:tc>
          <w:tcPr>
            <w:tcW w:w="2750" w:type="pct"/>
            <w:tcBorders>
              <w:top w:val="nil"/>
              <w:left w:val="nil"/>
              <w:bottom w:val="single" w:color="auto" w:sz="4" w:space="0"/>
              <w:right w:val="single" w:color="auto" w:sz="4" w:space="0"/>
            </w:tcBorders>
            <w:shd w:val="clear" w:color="auto" w:fill="auto"/>
            <w:vAlign w:val="center"/>
          </w:tcPr>
          <w:p w14:paraId="7FCEA5F2">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采用基于角色的访问控制（RBAC）模型，根据用户角色与业务需求，分配数据访问权限，确保敏感数据只能被授权人员访问。</w:t>
            </w:r>
          </w:p>
        </w:tc>
      </w:tr>
      <w:tr w14:paraId="2242FCF8">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0378CA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12</w:t>
            </w:r>
          </w:p>
        </w:tc>
        <w:tc>
          <w:tcPr>
            <w:tcW w:w="392" w:type="pct"/>
            <w:vMerge w:val="continue"/>
            <w:tcBorders>
              <w:top w:val="nil"/>
              <w:left w:val="single" w:color="auto" w:sz="4" w:space="0"/>
              <w:bottom w:val="single" w:color="000000" w:sz="4" w:space="0"/>
              <w:right w:val="single" w:color="auto" w:sz="4" w:space="0"/>
            </w:tcBorders>
            <w:vAlign w:val="center"/>
          </w:tcPr>
          <w:p w14:paraId="129D2B36">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52653987">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41C7B27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31F81B7">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5E0186E6">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数据加密</w:t>
            </w:r>
          </w:p>
        </w:tc>
        <w:tc>
          <w:tcPr>
            <w:tcW w:w="2750" w:type="pct"/>
            <w:tcBorders>
              <w:top w:val="nil"/>
              <w:left w:val="nil"/>
              <w:bottom w:val="single" w:color="auto" w:sz="4" w:space="0"/>
              <w:right w:val="single" w:color="auto" w:sz="4" w:space="0"/>
            </w:tcBorders>
            <w:shd w:val="clear" w:color="auto" w:fill="auto"/>
            <w:vAlign w:val="center"/>
          </w:tcPr>
          <w:p w14:paraId="5D8E77B3">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对存储和传输过程中的敏感数据进行加密处理。在数据库中，对客户身份证号、银行卡号等敏感字段进行加密存储；在数据传输时，采用 SSL/TLS 等加密协议，保障数据在传输过程中的安全性，防止数据泄露。</w:t>
            </w:r>
          </w:p>
        </w:tc>
      </w:tr>
      <w:tr w14:paraId="6FB6D79C">
        <w:tblPrEx>
          <w:tblCellMar>
            <w:top w:w="0" w:type="dxa"/>
            <w:left w:w="108" w:type="dxa"/>
            <w:bottom w:w="0" w:type="dxa"/>
            <w:right w:w="108" w:type="dxa"/>
          </w:tblCellMar>
        </w:tblPrEx>
        <w:trPr>
          <w:trHeight w:val="156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456858F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13</w:t>
            </w:r>
          </w:p>
        </w:tc>
        <w:tc>
          <w:tcPr>
            <w:tcW w:w="392" w:type="pct"/>
            <w:vMerge w:val="continue"/>
            <w:tcBorders>
              <w:top w:val="nil"/>
              <w:left w:val="single" w:color="auto" w:sz="4" w:space="0"/>
              <w:bottom w:val="single" w:color="000000" w:sz="4" w:space="0"/>
              <w:right w:val="single" w:color="auto" w:sz="4" w:space="0"/>
            </w:tcBorders>
            <w:vAlign w:val="center"/>
          </w:tcPr>
          <w:p w14:paraId="091C287E">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60CEA3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DD7C062">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163AB3DA">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元数据管理</w:t>
            </w:r>
          </w:p>
        </w:tc>
        <w:tc>
          <w:tcPr>
            <w:tcW w:w="384" w:type="pct"/>
            <w:tcBorders>
              <w:top w:val="nil"/>
              <w:left w:val="nil"/>
              <w:bottom w:val="single" w:color="auto" w:sz="4" w:space="0"/>
              <w:right w:val="single" w:color="auto" w:sz="4" w:space="0"/>
            </w:tcBorders>
            <w:shd w:val="clear" w:color="auto" w:fill="auto"/>
            <w:vAlign w:val="center"/>
          </w:tcPr>
          <w:p w14:paraId="214B68A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元数据采集</w:t>
            </w:r>
          </w:p>
        </w:tc>
        <w:tc>
          <w:tcPr>
            <w:tcW w:w="2750" w:type="pct"/>
            <w:tcBorders>
              <w:top w:val="nil"/>
              <w:left w:val="nil"/>
              <w:bottom w:val="single" w:color="auto" w:sz="4" w:space="0"/>
              <w:right w:val="single" w:color="auto" w:sz="4" w:space="0"/>
            </w:tcBorders>
            <w:shd w:val="clear" w:color="auto" w:fill="auto"/>
            <w:vAlign w:val="center"/>
          </w:tcPr>
          <w:p w14:paraId="6887D48F">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利用元数据管理工具，自动采集各类数据源（数据库、文件系统、业务系统等）的元数据，包括数据结构、数据关系、数据来源等信息。通过定期采集与更新，确保元数据的及时性与准确性。</w:t>
            </w:r>
          </w:p>
        </w:tc>
      </w:tr>
      <w:tr w14:paraId="50B90003">
        <w:tblPrEx>
          <w:tblCellMar>
            <w:top w:w="0" w:type="dxa"/>
            <w:left w:w="108" w:type="dxa"/>
            <w:bottom w:w="0" w:type="dxa"/>
            <w:right w:w="108" w:type="dxa"/>
          </w:tblCellMar>
        </w:tblPrEx>
        <w:trPr>
          <w:trHeight w:val="2493"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B955D0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14</w:t>
            </w:r>
          </w:p>
        </w:tc>
        <w:tc>
          <w:tcPr>
            <w:tcW w:w="392" w:type="pct"/>
            <w:vMerge w:val="continue"/>
            <w:tcBorders>
              <w:top w:val="nil"/>
              <w:left w:val="single" w:color="auto" w:sz="4" w:space="0"/>
              <w:bottom w:val="single" w:color="000000" w:sz="4" w:space="0"/>
              <w:right w:val="single" w:color="auto" w:sz="4" w:space="0"/>
            </w:tcBorders>
            <w:vAlign w:val="center"/>
          </w:tcPr>
          <w:p w14:paraId="6C4387C4">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45F5D3D9">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9C870E2">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817B19A">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23F43010">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元数据存储与管理</w:t>
            </w:r>
          </w:p>
        </w:tc>
        <w:tc>
          <w:tcPr>
            <w:tcW w:w="2750" w:type="pct"/>
            <w:tcBorders>
              <w:top w:val="nil"/>
              <w:left w:val="nil"/>
              <w:bottom w:val="single" w:color="auto" w:sz="4" w:space="0"/>
              <w:right w:val="single" w:color="auto" w:sz="4" w:space="0"/>
            </w:tcBorders>
            <w:shd w:val="clear" w:color="auto" w:fill="auto"/>
            <w:vAlign w:val="center"/>
          </w:tcPr>
          <w:p w14:paraId="5A6809E5">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建立元数据仓库，对采集到的元数据进行集中存储与管理。通过元数据模型，对元数据进行分类、组织与关联，方便用户查询与使用。同时，实现元数据的版本管理，记录元数据的变更历史。</w:t>
            </w:r>
          </w:p>
        </w:tc>
      </w:tr>
      <w:tr w14:paraId="565D71CD">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67E9FE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15</w:t>
            </w:r>
          </w:p>
        </w:tc>
        <w:tc>
          <w:tcPr>
            <w:tcW w:w="392" w:type="pct"/>
            <w:vMerge w:val="continue"/>
            <w:tcBorders>
              <w:top w:val="nil"/>
              <w:left w:val="single" w:color="auto" w:sz="4" w:space="0"/>
              <w:bottom w:val="single" w:color="000000" w:sz="4" w:space="0"/>
              <w:right w:val="single" w:color="auto" w:sz="4" w:space="0"/>
            </w:tcBorders>
            <w:vAlign w:val="center"/>
          </w:tcPr>
          <w:p w14:paraId="06B6F4E7">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57CACAE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CD21A2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7F47E83">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3A95BC05">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元数据应用</w:t>
            </w:r>
          </w:p>
        </w:tc>
        <w:tc>
          <w:tcPr>
            <w:tcW w:w="2750" w:type="pct"/>
            <w:tcBorders>
              <w:top w:val="nil"/>
              <w:left w:val="nil"/>
              <w:bottom w:val="single" w:color="auto" w:sz="4" w:space="0"/>
              <w:right w:val="single" w:color="auto" w:sz="4" w:space="0"/>
            </w:tcBorders>
            <w:shd w:val="clear" w:color="auto" w:fill="auto"/>
            <w:vAlign w:val="center"/>
          </w:tcPr>
          <w:p w14:paraId="343AB704">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基于元数据，实现数据资源分析，追踪数据从产生到使用的全流程，帮助用户了解数据的来龙去脉；进行影响分析，评估数据变更对业务系统与其他数据的影响，为数据管理与决策提供有力支持</w:t>
            </w:r>
          </w:p>
        </w:tc>
      </w:tr>
      <w:tr w14:paraId="660595C5">
        <w:tblPrEx>
          <w:tblCellMar>
            <w:top w:w="0" w:type="dxa"/>
            <w:left w:w="108" w:type="dxa"/>
            <w:bottom w:w="0" w:type="dxa"/>
            <w:right w:w="108" w:type="dxa"/>
          </w:tblCellMar>
        </w:tblPrEx>
        <w:trPr>
          <w:trHeight w:val="218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56369CF">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16</w:t>
            </w:r>
          </w:p>
        </w:tc>
        <w:tc>
          <w:tcPr>
            <w:tcW w:w="392" w:type="pct"/>
            <w:vMerge w:val="continue"/>
            <w:tcBorders>
              <w:top w:val="nil"/>
              <w:left w:val="single" w:color="auto" w:sz="4" w:space="0"/>
              <w:bottom w:val="single" w:color="000000" w:sz="4" w:space="0"/>
              <w:right w:val="single" w:color="auto" w:sz="4" w:space="0"/>
            </w:tcBorders>
            <w:vAlign w:val="center"/>
          </w:tcPr>
          <w:p w14:paraId="056CAD8B">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50FBBB48">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75D79F9">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57B1391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数据采集交换</w:t>
            </w:r>
          </w:p>
        </w:tc>
        <w:tc>
          <w:tcPr>
            <w:tcW w:w="384" w:type="pct"/>
            <w:tcBorders>
              <w:top w:val="nil"/>
              <w:left w:val="nil"/>
              <w:bottom w:val="single" w:color="auto" w:sz="4" w:space="0"/>
              <w:right w:val="single" w:color="auto" w:sz="4" w:space="0"/>
            </w:tcBorders>
            <w:shd w:val="clear" w:color="auto" w:fill="auto"/>
            <w:vAlign w:val="center"/>
          </w:tcPr>
          <w:p w14:paraId="165A0AE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数据集成架构</w:t>
            </w:r>
          </w:p>
        </w:tc>
        <w:tc>
          <w:tcPr>
            <w:tcW w:w="2750" w:type="pct"/>
            <w:tcBorders>
              <w:top w:val="nil"/>
              <w:left w:val="nil"/>
              <w:bottom w:val="single" w:color="auto" w:sz="4" w:space="0"/>
              <w:right w:val="single" w:color="auto" w:sz="4" w:space="0"/>
            </w:tcBorders>
            <w:shd w:val="clear" w:color="auto" w:fill="auto"/>
            <w:vAlign w:val="center"/>
          </w:tcPr>
          <w:p w14:paraId="296F489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采用 ETL（Extract - Transform - Load）工具或数据集成平台，构建统一的数据集成架构。实现从不同数据源（如业务系统数据库、Excel 文件、API 接口等）抽取数据，进行清洗、转换后，加载到数据仓库或目标系统中，确保数据的一致性与完整性。</w:t>
            </w:r>
          </w:p>
        </w:tc>
      </w:tr>
      <w:tr w14:paraId="06B12E07">
        <w:tblPrEx>
          <w:tblCellMar>
            <w:top w:w="0" w:type="dxa"/>
            <w:left w:w="108" w:type="dxa"/>
            <w:bottom w:w="0" w:type="dxa"/>
            <w:right w:w="108" w:type="dxa"/>
          </w:tblCellMar>
        </w:tblPrEx>
        <w:trPr>
          <w:trHeight w:val="2803"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5DDEB93E">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17</w:t>
            </w:r>
          </w:p>
        </w:tc>
        <w:tc>
          <w:tcPr>
            <w:tcW w:w="392" w:type="pct"/>
            <w:vMerge w:val="continue"/>
            <w:tcBorders>
              <w:top w:val="nil"/>
              <w:left w:val="single" w:color="auto" w:sz="4" w:space="0"/>
              <w:bottom w:val="single" w:color="000000" w:sz="4" w:space="0"/>
              <w:right w:val="single" w:color="auto" w:sz="4" w:space="0"/>
            </w:tcBorders>
            <w:vAlign w:val="center"/>
          </w:tcPr>
          <w:p w14:paraId="7B59FC59">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49BC0B35">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B5ADBB4">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BEC537C">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7AE4C13E">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数据交换标准与接口</w:t>
            </w:r>
          </w:p>
        </w:tc>
        <w:tc>
          <w:tcPr>
            <w:tcW w:w="2750" w:type="pct"/>
            <w:tcBorders>
              <w:top w:val="nil"/>
              <w:left w:val="nil"/>
              <w:bottom w:val="single" w:color="auto" w:sz="4" w:space="0"/>
              <w:right w:val="single" w:color="auto" w:sz="4" w:space="0"/>
            </w:tcBorders>
            <w:shd w:val="clear" w:color="auto" w:fill="auto"/>
            <w:vAlign w:val="center"/>
          </w:tcPr>
          <w:p w14:paraId="53DDA059">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制定数据交换标准，规范数据格式、接口协议等。提供统一的数据接口，支持不同系统间的数据交换与共享。通过 RESTful API 接口，实现与外部合作伙伴的数据对接，满足业务协作需求</w:t>
            </w:r>
          </w:p>
        </w:tc>
      </w:tr>
      <w:tr w14:paraId="467C234B">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012064D3">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18</w:t>
            </w:r>
          </w:p>
        </w:tc>
        <w:tc>
          <w:tcPr>
            <w:tcW w:w="392" w:type="pct"/>
            <w:vMerge w:val="continue"/>
            <w:tcBorders>
              <w:top w:val="nil"/>
              <w:left w:val="single" w:color="auto" w:sz="4" w:space="0"/>
              <w:bottom w:val="single" w:color="000000" w:sz="4" w:space="0"/>
              <w:right w:val="single" w:color="auto" w:sz="4" w:space="0"/>
            </w:tcBorders>
            <w:vAlign w:val="center"/>
          </w:tcPr>
          <w:p w14:paraId="39E4CF48">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50B9F4D">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D33CC66">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713DD5A">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43EB33C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数据同步机制</w:t>
            </w:r>
          </w:p>
        </w:tc>
        <w:tc>
          <w:tcPr>
            <w:tcW w:w="2750" w:type="pct"/>
            <w:tcBorders>
              <w:top w:val="nil"/>
              <w:left w:val="nil"/>
              <w:bottom w:val="single" w:color="auto" w:sz="4" w:space="0"/>
              <w:right w:val="single" w:color="auto" w:sz="4" w:space="0"/>
            </w:tcBorders>
            <w:shd w:val="clear" w:color="auto" w:fill="auto"/>
            <w:vAlign w:val="center"/>
          </w:tcPr>
          <w:p w14:paraId="6305A296">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建立数据同步机制，确保数据在不同系统间的实时或准实时同步。采用增量同步方式，只同步发生变化的数据，减少数据传输量与处理时间，提高数据同步效率，保障数据的时效性。</w:t>
            </w:r>
          </w:p>
        </w:tc>
      </w:tr>
      <w:tr w14:paraId="7E0BD959">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46727B0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19</w:t>
            </w:r>
          </w:p>
        </w:tc>
        <w:tc>
          <w:tcPr>
            <w:tcW w:w="392" w:type="pct"/>
            <w:vMerge w:val="continue"/>
            <w:tcBorders>
              <w:top w:val="nil"/>
              <w:left w:val="single" w:color="auto" w:sz="4" w:space="0"/>
              <w:bottom w:val="single" w:color="000000" w:sz="4" w:space="0"/>
              <w:right w:val="single" w:color="auto" w:sz="4" w:space="0"/>
            </w:tcBorders>
            <w:vAlign w:val="center"/>
          </w:tcPr>
          <w:p w14:paraId="68E8E022">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B4A90FC">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4C76CB4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专题库建设</w:t>
            </w: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472038DF">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合同库</w:t>
            </w: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3449E19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数据管理</w:t>
            </w:r>
          </w:p>
        </w:tc>
        <w:tc>
          <w:tcPr>
            <w:tcW w:w="2750" w:type="pct"/>
            <w:tcBorders>
              <w:top w:val="nil"/>
              <w:left w:val="nil"/>
              <w:bottom w:val="single" w:color="auto" w:sz="4" w:space="0"/>
              <w:right w:val="single" w:color="auto" w:sz="4" w:space="0"/>
            </w:tcBorders>
            <w:shd w:val="clear" w:color="auto" w:fill="auto"/>
            <w:vAlign w:val="center"/>
          </w:tcPr>
          <w:p w14:paraId="5560E914">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全面收录合同（收入合同、支出合同、投资合同等）全生命周期数据，包括合同审批、签署、履约、归档等环节产生的信息，如合同文本、相关方信息、金额、履约进度等，确保数据完整性。</w:t>
            </w:r>
          </w:p>
        </w:tc>
      </w:tr>
      <w:tr w14:paraId="03414B5E">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1F83B8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20</w:t>
            </w:r>
          </w:p>
        </w:tc>
        <w:tc>
          <w:tcPr>
            <w:tcW w:w="392" w:type="pct"/>
            <w:vMerge w:val="continue"/>
            <w:tcBorders>
              <w:top w:val="nil"/>
              <w:left w:val="single" w:color="auto" w:sz="4" w:space="0"/>
              <w:bottom w:val="single" w:color="000000" w:sz="4" w:space="0"/>
              <w:right w:val="single" w:color="auto" w:sz="4" w:space="0"/>
            </w:tcBorders>
            <w:vAlign w:val="center"/>
          </w:tcPr>
          <w:p w14:paraId="373D6F10">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8390DF8">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3A5C6C9">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F74750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DFBC6FF">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2B8B75FA">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制定严格的数据录入规范，通过系统自动校验与人工审核结合，保证合同数据的准确性与一致性，避免关键信息错误或矛盾。</w:t>
            </w:r>
          </w:p>
        </w:tc>
      </w:tr>
      <w:tr w14:paraId="09B730C9">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6924FC2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21</w:t>
            </w:r>
          </w:p>
        </w:tc>
        <w:tc>
          <w:tcPr>
            <w:tcW w:w="392" w:type="pct"/>
            <w:vMerge w:val="continue"/>
            <w:tcBorders>
              <w:top w:val="nil"/>
              <w:left w:val="single" w:color="auto" w:sz="4" w:space="0"/>
              <w:bottom w:val="single" w:color="000000" w:sz="4" w:space="0"/>
              <w:right w:val="single" w:color="auto" w:sz="4" w:space="0"/>
            </w:tcBorders>
            <w:vAlign w:val="center"/>
          </w:tcPr>
          <w:p w14:paraId="41E5E4C2">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4DC414D6">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9F966F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8B973A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15ACBE7A">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3CCFA65B">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对合同数据进行分类分级管理，依据合同类型、敏感程度、重要性划分安全级别，实施差异化的存储与访问控制策略。</w:t>
            </w:r>
          </w:p>
        </w:tc>
      </w:tr>
      <w:tr w14:paraId="16A56BB1">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61AEE15F">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22</w:t>
            </w:r>
          </w:p>
        </w:tc>
        <w:tc>
          <w:tcPr>
            <w:tcW w:w="392" w:type="pct"/>
            <w:vMerge w:val="continue"/>
            <w:tcBorders>
              <w:top w:val="nil"/>
              <w:left w:val="single" w:color="auto" w:sz="4" w:space="0"/>
              <w:bottom w:val="single" w:color="000000" w:sz="4" w:space="0"/>
              <w:right w:val="single" w:color="auto" w:sz="4" w:space="0"/>
            </w:tcBorders>
            <w:vAlign w:val="center"/>
          </w:tcPr>
          <w:p w14:paraId="23F41474">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6DB7E75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5BF9729">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23AFBEE8">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0EBD08CA">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应用数据调用支撑能力</w:t>
            </w:r>
          </w:p>
        </w:tc>
        <w:tc>
          <w:tcPr>
            <w:tcW w:w="2750" w:type="pct"/>
            <w:tcBorders>
              <w:top w:val="nil"/>
              <w:left w:val="nil"/>
              <w:bottom w:val="single" w:color="auto" w:sz="4" w:space="0"/>
              <w:right w:val="single" w:color="auto" w:sz="4" w:space="0"/>
            </w:tcBorders>
            <w:shd w:val="clear" w:color="auto" w:fill="auto"/>
            <w:vAlign w:val="center"/>
          </w:tcPr>
          <w:p w14:paraId="5A82D718">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提供合同检索功能，支持按合同编号、相关方名称、签订时间、金额等多条件组合查询，快速定位目标合同。</w:t>
            </w:r>
          </w:p>
        </w:tc>
      </w:tr>
      <w:tr w14:paraId="5A252E02">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084E7F1C">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23</w:t>
            </w:r>
          </w:p>
        </w:tc>
        <w:tc>
          <w:tcPr>
            <w:tcW w:w="392" w:type="pct"/>
            <w:vMerge w:val="continue"/>
            <w:tcBorders>
              <w:top w:val="nil"/>
              <w:left w:val="single" w:color="auto" w:sz="4" w:space="0"/>
              <w:bottom w:val="single" w:color="000000" w:sz="4" w:space="0"/>
              <w:right w:val="single" w:color="auto" w:sz="4" w:space="0"/>
            </w:tcBorders>
            <w:vAlign w:val="center"/>
          </w:tcPr>
          <w:p w14:paraId="44485003">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3DA28F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1619F1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1F3A28B7">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1652F109">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782D220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具备合同版本管理功能，记录合同修改历史，保留各版本内容，便于追溯合同变更过程。</w:t>
            </w:r>
          </w:p>
        </w:tc>
      </w:tr>
      <w:tr w14:paraId="7CB82864">
        <w:tblPrEx>
          <w:tblCellMar>
            <w:top w:w="0" w:type="dxa"/>
            <w:left w:w="108" w:type="dxa"/>
            <w:bottom w:w="0" w:type="dxa"/>
            <w:right w:w="108" w:type="dxa"/>
          </w:tblCellMar>
        </w:tblPrEx>
        <w:trPr>
          <w:trHeight w:val="123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A2F8926">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24</w:t>
            </w:r>
          </w:p>
        </w:tc>
        <w:tc>
          <w:tcPr>
            <w:tcW w:w="392" w:type="pct"/>
            <w:vMerge w:val="continue"/>
            <w:tcBorders>
              <w:top w:val="nil"/>
              <w:left w:val="single" w:color="auto" w:sz="4" w:space="0"/>
              <w:bottom w:val="single" w:color="000000" w:sz="4" w:space="0"/>
              <w:right w:val="single" w:color="auto" w:sz="4" w:space="0"/>
            </w:tcBorders>
            <w:vAlign w:val="center"/>
          </w:tcPr>
          <w:p w14:paraId="7816EA32">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7EBB2F4">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22E90C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26ACBDCF">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1EC65EA7">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2A9DCCEC">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集成合同预警功能，对合同到期、付款节点、履约异常等情况自动提醒，辅助业务人员及时处理合同事务。</w:t>
            </w:r>
          </w:p>
        </w:tc>
      </w:tr>
      <w:tr w14:paraId="6511F4C3">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0DB8B8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25</w:t>
            </w:r>
          </w:p>
        </w:tc>
        <w:tc>
          <w:tcPr>
            <w:tcW w:w="392" w:type="pct"/>
            <w:vMerge w:val="continue"/>
            <w:tcBorders>
              <w:top w:val="nil"/>
              <w:left w:val="single" w:color="auto" w:sz="4" w:space="0"/>
              <w:bottom w:val="single" w:color="000000" w:sz="4" w:space="0"/>
              <w:right w:val="single" w:color="auto" w:sz="4" w:space="0"/>
            </w:tcBorders>
            <w:vAlign w:val="center"/>
          </w:tcPr>
          <w:p w14:paraId="43064D2E">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5B0E22B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7F1C7CE">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000000" w:sz="4" w:space="0"/>
              <w:right w:val="single" w:color="auto" w:sz="4" w:space="0"/>
            </w:tcBorders>
            <w:shd w:val="clear" w:color="auto" w:fill="auto"/>
            <w:vAlign w:val="center"/>
          </w:tcPr>
          <w:p w14:paraId="630F3D36">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项目库</w:t>
            </w:r>
          </w:p>
        </w:tc>
        <w:tc>
          <w:tcPr>
            <w:tcW w:w="384" w:type="pct"/>
            <w:vMerge w:val="restart"/>
            <w:tcBorders>
              <w:top w:val="nil"/>
              <w:left w:val="single" w:color="auto" w:sz="4" w:space="0"/>
              <w:bottom w:val="single" w:color="000000" w:sz="4" w:space="0"/>
              <w:right w:val="single" w:color="auto" w:sz="4" w:space="0"/>
            </w:tcBorders>
            <w:shd w:val="clear" w:color="auto" w:fill="auto"/>
            <w:vAlign w:val="center"/>
          </w:tcPr>
          <w:p w14:paraId="3450356E">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数据管理</w:t>
            </w:r>
          </w:p>
        </w:tc>
        <w:tc>
          <w:tcPr>
            <w:tcW w:w="2750" w:type="pct"/>
            <w:tcBorders>
              <w:top w:val="nil"/>
              <w:left w:val="nil"/>
              <w:bottom w:val="single" w:color="auto" w:sz="4" w:space="0"/>
              <w:right w:val="single" w:color="auto" w:sz="4" w:space="0"/>
            </w:tcBorders>
            <w:shd w:val="clear" w:color="auto" w:fill="auto"/>
            <w:vAlign w:val="center"/>
          </w:tcPr>
          <w:p w14:paraId="5C4953B3">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覆盖投资项目（含基金投资、战略投资、财务投资、并购重组）、采购项目（含设备采购、服务采购、工程采购）、服务项目（含载体租赁、中试、信贷、担保、信息技术）等不同类型项目的全流程数据。</w:t>
            </w:r>
          </w:p>
        </w:tc>
      </w:tr>
      <w:tr w14:paraId="0DE7B3D0">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E46EB9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26</w:t>
            </w:r>
          </w:p>
        </w:tc>
        <w:tc>
          <w:tcPr>
            <w:tcW w:w="392" w:type="pct"/>
            <w:vMerge w:val="continue"/>
            <w:tcBorders>
              <w:top w:val="nil"/>
              <w:left w:val="single" w:color="auto" w:sz="4" w:space="0"/>
              <w:bottom w:val="single" w:color="000000" w:sz="4" w:space="0"/>
              <w:right w:val="single" w:color="auto" w:sz="4" w:space="0"/>
            </w:tcBorders>
            <w:vAlign w:val="center"/>
          </w:tcPr>
          <w:p w14:paraId="3A25B39A">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B345D1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2FA007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4EEC5CF3">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1AA8375C">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2CFB0857">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制定严格的数据录入规范，通过系统自动校验与人工审核结合，保证项目数据的准确性与一致性，避免关键信息错误或矛盾。</w:t>
            </w:r>
          </w:p>
        </w:tc>
      </w:tr>
      <w:tr w14:paraId="56AE0963">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64523A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27</w:t>
            </w:r>
          </w:p>
        </w:tc>
        <w:tc>
          <w:tcPr>
            <w:tcW w:w="392" w:type="pct"/>
            <w:vMerge w:val="continue"/>
            <w:tcBorders>
              <w:top w:val="nil"/>
              <w:left w:val="single" w:color="auto" w:sz="4" w:space="0"/>
              <w:bottom w:val="single" w:color="000000" w:sz="4" w:space="0"/>
              <w:right w:val="single" w:color="auto" w:sz="4" w:space="0"/>
            </w:tcBorders>
            <w:vAlign w:val="center"/>
          </w:tcPr>
          <w:p w14:paraId="4AA1F930">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47A6785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92C40B5">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06B909C3">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275AB77C">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64A06289">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对项目数据进行分类分级管理，依据项目类型、项目金额、保密要求、重要性划分安全级别，实施差异化的存储与访问控制策略。</w:t>
            </w:r>
          </w:p>
        </w:tc>
      </w:tr>
      <w:tr w14:paraId="44E07E29">
        <w:tblPrEx>
          <w:tblCellMar>
            <w:top w:w="0" w:type="dxa"/>
            <w:left w:w="108" w:type="dxa"/>
            <w:bottom w:w="0" w:type="dxa"/>
            <w:right w:w="108" w:type="dxa"/>
          </w:tblCellMar>
        </w:tblPrEx>
        <w:trPr>
          <w:trHeight w:val="218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1D5982E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28</w:t>
            </w:r>
          </w:p>
        </w:tc>
        <w:tc>
          <w:tcPr>
            <w:tcW w:w="392" w:type="pct"/>
            <w:vMerge w:val="continue"/>
            <w:tcBorders>
              <w:top w:val="nil"/>
              <w:left w:val="single" w:color="auto" w:sz="4" w:space="0"/>
              <w:bottom w:val="single" w:color="000000" w:sz="4" w:space="0"/>
              <w:right w:val="single" w:color="auto" w:sz="4" w:space="0"/>
            </w:tcBorders>
            <w:vAlign w:val="center"/>
          </w:tcPr>
          <w:p w14:paraId="1CD25423">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D14BA95">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851B1F2">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53385B93">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18A1A505">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0FB3DE71">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对合同管理、项目管理子系统以及其他外部可接入数据相关信息系统中产生的商机数据和录入的商机数据进行采集和存储，根据商机管理应用模块的功能，把商机来源、提交人、认领人、商机过程、商机转化、转化收益等信息进行统计入库。</w:t>
            </w:r>
          </w:p>
        </w:tc>
      </w:tr>
      <w:tr w14:paraId="3D7D9F35">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5AF9615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29</w:t>
            </w:r>
          </w:p>
        </w:tc>
        <w:tc>
          <w:tcPr>
            <w:tcW w:w="392" w:type="pct"/>
            <w:vMerge w:val="continue"/>
            <w:tcBorders>
              <w:top w:val="nil"/>
              <w:left w:val="single" w:color="auto" w:sz="4" w:space="0"/>
              <w:bottom w:val="single" w:color="000000" w:sz="4" w:space="0"/>
              <w:right w:val="single" w:color="auto" w:sz="4" w:space="0"/>
            </w:tcBorders>
            <w:vAlign w:val="center"/>
          </w:tcPr>
          <w:p w14:paraId="0F11FA7B">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4BDE62E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CE2CD3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0D65126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047F3F72">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4C9585B1">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库内及时更新商机状态，记录商机跟进过程，如接触时间、沟通内容、进展阶段等，反映商机动态变化。</w:t>
            </w:r>
          </w:p>
        </w:tc>
      </w:tr>
      <w:tr w14:paraId="135890FB">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5BDD04D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30</w:t>
            </w:r>
          </w:p>
        </w:tc>
        <w:tc>
          <w:tcPr>
            <w:tcW w:w="392" w:type="pct"/>
            <w:vMerge w:val="continue"/>
            <w:tcBorders>
              <w:top w:val="nil"/>
              <w:left w:val="single" w:color="auto" w:sz="4" w:space="0"/>
              <w:bottom w:val="single" w:color="000000" w:sz="4" w:space="0"/>
              <w:right w:val="single" w:color="auto" w:sz="4" w:space="0"/>
            </w:tcBorders>
            <w:vAlign w:val="center"/>
          </w:tcPr>
          <w:p w14:paraId="1D9163BE">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62B07B48">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60A6FE6">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2316B450">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000000" w:sz="4" w:space="0"/>
              <w:right w:val="single" w:color="auto" w:sz="4" w:space="0"/>
            </w:tcBorders>
            <w:shd w:val="clear" w:color="auto" w:fill="auto"/>
            <w:vAlign w:val="center"/>
          </w:tcPr>
          <w:p w14:paraId="4347E9D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应用数据调用支撑能力</w:t>
            </w:r>
          </w:p>
        </w:tc>
        <w:tc>
          <w:tcPr>
            <w:tcW w:w="2750" w:type="pct"/>
            <w:tcBorders>
              <w:top w:val="nil"/>
              <w:left w:val="nil"/>
              <w:bottom w:val="single" w:color="auto" w:sz="4" w:space="0"/>
              <w:right w:val="single" w:color="auto" w:sz="4" w:space="0"/>
            </w:tcBorders>
            <w:shd w:val="clear" w:color="auto" w:fill="auto"/>
            <w:vAlign w:val="center"/>
          </w:tcPr>
          <w:p w14:paraId="1518A0F1">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项目信息库可以支持多条件精准数据检索、模糊查询、关联穿透式查询，为用户查询项目数据的查询提供高效查询支撑。</w:t>
            </w:r>
          </w:p>
        </w:tc>
      </w:tr>
      <w:tr w14:paraId="1D0D3A2A">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D7D3543">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31</w:t>
            </w:r>
          </w:p>
        </w:tc>
        <w:tc>
          <w:tcPr>
            <w:tcW w:w="392" w:type="pct"/>
            <w:vMerge w:val="continue"/>
            <w:tcBorders>
              <w:top w:val="nil"/>
              <w:left w:val="single" w:color="auto" w:sz="4" w:space="0"/>
              <w:bottom w:val="single" w:color="000000" w:sz="4" w:space="0"/>
              <w:right w:val="single" w:color="auto" w:sz="4" w:space="0"/>
            </w:tcBorders>
            <w:vAlign w:val="center"/>
          </w:tcPr>
          <w:p w14:paraId="54F45E2E">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EE4EE3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305746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0A25F69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50590EC0">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0FBA6590">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支持与合同库、商机库、供应商库等多库数据互通，可发起跨库整合分析。用户可在项目库数据管理治理中实现多维度数据动态联动。</w:t>
            </w:r>
          </w:p>
        </w:tc>
      </w:tr>
      <w:tr w14:paraId="314A9020">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0CBE94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32</w:t>
            </w:r>
          </w:p>
        </w:tc>
        <w:tc>
          <w:tcPr>
            <w:tcW w:w="392" w:type="pct"/>
            <w:vMerge w:val="continue"/>
            <w:tcBorders>
              <w:top w:val="nil"/>
              <w:left w:val="single" w:color="auto" w:sz="4" w:space="0"/>
              <w:bottom w:val="single" w:color="000000" w:sz="4" w:space="0"/>
              <w:right w:val="single" w:color="auto" w:sz="4" w:space="0"/>
            </w:tcBorders>
            <w:vAlign w:val="center"/>
          </w:tcPr>
          <w:p w14:paraId="01D3A7E4">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4D3B1BB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CD029D4">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51B48FAE">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0161227B">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29B4AA4C">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系统支持在数据展示和报表生成过程中，自动计算项目数据的同比和环比数值，支持从时间、地域、行业、项目类型等多个维度进行同环比对比，支持同环比对比结果进行智能分析和解读，生成趋势分析报告。</w:t>
            </w:r>
          </w:p>
        </w:tc>
      </w:tr>
      <w:tr w14:paraId="6E673705">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5E775F1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33</w:t>
            </w:r>
          </w:p>
        </w:tc>
        <w:tc>
          <w:tcPr>
            <w:tcW w:w="392" w:type="pct"/>
            <w:vMerge w:val="continue"/>
            <w:tcBorders>
              <w:top w:val="nil"/>
              <w:left w:val="single" w:color="auto" w:sz="4" w:space="0"/>
              <w:bottom w:val="single" w:color="000000" w:sz="4" w:space="0"/>
              <w:right w:val="single" w:color="auto" w:sz="4" w:space="0"/>
            </w:tcBorders>
            <w:vAlign w:val="center"/>
          </w:tcPr>
          <w:p w14:paraId="404129AE">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44D9142">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C6E48A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57AB1BD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3895E4F8">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6B8A81B7">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提供商机匹配，根据企业业务方向、历史合作数据等，为业务人员推送匹配度高的商机。</w:t>
            </w:r>
          </w:p>
        </w:tc>
      </w:tr>
      <w:tr w14:paraId="2E56EC9D">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4112F5A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34</w:t>
            </w:r>
          </w:p>
        </w:tc>
        <w:tc>
          <w:tcPr>
            <w:tcW w:w="392" w:type="pct"/>
            <w:vMerge w:val="continue"/>
            <w:tcBorders>
              <w:top w:val="nil"/>
              <w:left w:val="single" w:color="auto" w:sz="4" w:space="0"/>
              <w:bottom w:val="single" w:color="000000" w:sz="4" w:space="0"/>
              <w:right w:val="single" w:color="auto" w:sz="4" w:space="0"/>
            </w:tcBorders>
            <w:vAlign w:val="center"/>
          </w:tcPr>
          <w:p w14:paraId="1BA61D6D">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047A33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D3EABB8">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09B4EF2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2D0E7E88">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684CCAD9">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跨系统数据流转：通过对集团已有的资本通、信贷通、赛事通等应用，获取更多的商机信息。获取的商机信息可以推送到智慧管控平台和业务相关子公司。</w:t>
            </w:r>
          </w:p>
        </w:tc>
      </w:tr>
      <w:tr w14:paraId="180725BC">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E99FCF8">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35</w:t>
            </w:r>
          </w:p>
        </w:tc>
        <w:tc>
          <w:tcPr>
            <w:tcW w:w="392" w:type="pct"/>
            <w:vMerge w:val="continue"/>
            <w:tcBorders>
              <w:top w:val="nil"/>
              <w:left w:val="single" w:color="auto" w:sz="4" w:space="0"/>
              <w:bottom w:val="single" w:color="000000" w:sz="4" w:space="0"/>
              <w:right w:val="single" w:color="auto" w:sz="4" w:space="0"/>
            </w:tcBorders>
            <w:vAlign w:val="center"/>
          </w:tcPr>
          <w:p w14:paraId="0324C413">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C98F83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1BC2FB2">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207CE1B6">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6DF266D8">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7E045B76">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支持商机数据分析，统计商机来源、行业分布、转化率等指标，辅助企业制定市场策略。</w:t>
            </w:r>
          </w:p>
        </w:tc>
      </w:tr>
      <w:tr w14:paraId="3DABE13D">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BD0B6D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36</w:t>
            </w:r>
          </w:p>
        </w:tc>
        <w:tc>
          <w:tcPr>
            <w:tcW w:w="392" w:type="pct"/>
            <w:vMerge w:val="continue"/>
            <w:tcBorders>
              <w:top w:val="nil"/>
              <w:left w:val="single" w:color="auto" w:sz="4" w:space="0"/>
              <w:bottom w:val="single" w:color="000000" w:sz="4" w:space="0"/>
              <w:right w:val="single" w:color="auto" w:sz="4" w:space="0"/>
            </w:tcBorders>
            <w:vAlign w:val="center"/>
          </w:tcPr>
          <w:p w14:paraId="48D16D40">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4AE966D">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99ED5D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25026C8E">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5F084299">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358B0831">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具备商机共享与协作功能，方便跨部门人员共同跟进商机，提高商机转化成功率。</w:t>
            </w:r>
          </w:p>
        </w:tc>
      </w:tr>
      <w:tr w14:paraId="470EE46C">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47CDEEA0">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37</w:t>
            </w:r>
          </w:p>
        </w:tc>
        <w:tc>
          <w:tcPr>
            <w:tcW w:w="392" w:type="pct"/>
            <w:vMerge w:val="continue"/>
            <w:tcBorders>
              <w:top w:val="nil"/>
              <w:left w:val="single" w:color="auto" w:sz="4" w:space="0"/>
              <w:bottom w:val="single" w:color="000000" w:sz="4" w:space="0"/>
              <w:right w:val="single" w:color="auto" w:sz="4" w:space="0"/>
            </w:tcBorders>
            <w:vAlign w:val="center"/>
          </w:tcPr>
          <w:p w14:paraId="78D09497">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FA32597">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70220E2">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125ECC35">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供应商库</w:t>
            </w: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00D131B4">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数据管理</w:t>
            </w:r>
          </w:p>
        </w:tc>
        <w:tc>
          <w:tcPr>
            <w:tcW w:w="2750" w:type="pct"/>
            <w:tcBorders>
              <w:top w:val="nil"/>
              <w:left w:val="nil"/>
              <w:bottom w:val="single" w:color="auto" w:sz="4" w:space="0"/>
              <w:right w:val="single" w:color="auto" w:sz="4" w:space="0"/>
            </w:tcBorders>
            <w:shd w:val="clear" w:color="auto" w:fill="auto"/>
            <w:vAlign w:val="center"/>
          </w:tcPr>
          <w:p w14:paraId="43F96C7C">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通过合同管理和项目管理系统，自动收录供应商基本信息、资质文件、产品或服务信息、合作历史、信用评级等数据，全面评估供应商能力。</w:t>
            </w:r>
          </w:p>
        </w:tc>
      </w:tr>
      <w:tr w14:paraId="4077A46E">
        <w:tblPrEx>
          <w:tblCellMar>
            <w:top w:w="0" w:type="dxa"/>
            <w:left w:w="108" w:type="dxa"/>
            <w:bottom w:w="0" w:type="dxa"/>
            <w:right w:w="108" w:type="dxa"/>
          </w:tblCellMar>
        </w:tblPrEx>
        <w:trPr>
          <w:trHeight w:val="94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25B7BFC">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38</w:t>
            </w:r>
          </w:p>
        </w:tc>
        <w:tc>
          <w:tcPr>
            <w:tcW w:w="392" w:type="pct"/>
            <w:vMerge w:val="continue"/>
            <w:tcBorders>
              <w:top w:val="nil"/>
              <w:left w:val="single" w:color="auto" w:sz="4" w:space="0"/>
              <w:bottom w:val="single" w:color="000000" w:sz="4" w:space="0"/>
              <w:right w:val="single" w:color="auto" w:sz="4" w:space="0"/>
            </w:tcBorders>
            <w:vAlign w:val="center"/>
          </w:tcPr>
          <w:p w14:paraId="74635949">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75143CE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511B656E">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7CCD91F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34DF5A29">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6DF6F7B7">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建立供应商数据动态更新机制，及时获取供应商经营状况、产品更新等信息，保证数据时效性。</w:t>
            </w:r>
            <w:r>
              <w:rPr>
                <w:rFonts w:hint="eastAsia" w:ascii="MS Gothic" w:hAnsi="MS Gothic" w:eastAsia="MS Gothic" w:cs="MS Gothic"/>
                <w:color w:val="000000"/>
                <w:kern w:val="0"/>
                <w:sz w:val="20"/>
                <w:szCs w:val="20"/>
                <w14:ligatures w14:val="none"/>
              </w:rPr>
              <w:t>​</w:t>
            </w:r>
          </w:p>
        </w:tc>
      </w:tr>
      <w:tr w14:paraId="028E1182">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0C31D563">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39</w:t>
            </w:r>
          </w:p>
        </w:tc>
        <w:tc>
          <w:tcPr>
            <w:tcW w:w="392" w:type="pct"/>
            <w:vMerge w:val="continue"/>
            <w:tcBorders>
              <w:top w:val="nil"/>
              <w:left w:val="single" w:color="auto" w:sz="4" w:space="0"/>
              <w:bottom w:val="single" w:color="000000" w:sz="4" w:space="0"/>
              <w:right w:val="single" w:color="auto" w:sz="4" w:space="0"/>
            </w:tcBorders>
            <w:vAlign w:val="center"/>
          </w:tcPr>
          <w:p w14:paraId="726D837F">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58BCA332">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6F8C1D67">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82AF00D">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6176DA78">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应用数据调用支撑能力</w:t>
            </w:r>
          </w:p>
        </w:tc>
        <w:tc>
          <w:tcPr>
            <w:tcW w:w="2750" w:type="pct"/>
            <w:tcBorders>
              <w:top w:val="nil"/>
              <w:left w:val="nil"/>
              <w:bottom w:val="single" w:color="auto" w:sz="4" w:space="0"/>
              <w:right w:val="single" w:color="auto" w:sz="4" w:space="0"/>
            </w:tcBorders>
            <w:shd w:val="clear" w:color="auto" w:fill="auto"/>
            <w:vAlign w:val="center"/>
          </w:tcPr>
          <w:p w14:paraId="776C21AC">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提供供应商信息录入管理功能，在合同管理系统和项目管理系统中产生的乙方信息，系统自动录入到供应商库中进行存储，后续若需在相关子系统中调用供应商信息，用户可对供应商基础信息进行补全。</w:t>
            </w:r>
          </w:p>
        </w:tc>
      </w:tr>
      <w:tr w14:paraId="072309A0">
        <w:tblPrEx>
          <w:tblCellMar>
            <w:top w:w="0" w:type="dxa"/>
            <w:left w:w="108" w:type="dxa"/>
            <w:bottom w:w="0" w:type="dxa"/>
            <w:right w:w="108" w:type="dxa"/>
          </w:tblCellMar>
        </w:tblPrEx>
        <w:trPr>
          <w:trHeight w:val="124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6D6632AA">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40</w:t>
            </w:r>
          </w:p>
        </w:tc>
        <w:tc>
          <w:tcPr>
            <w:tcW w:w="392" w:type="pct"/>
            <w:vMerge w:val="continue"/>
            <w:tcBorders>
              <w:top w:val="nil"/>
              <w:left w:val="single" w:color="auto" w:sz="4" w:space="0"/>
              <w:bottom w:val="single" w:color="000000" w:sz="4" w:space="0"/>
              <w:right w:val="single" w:color="auto" w:sz="4" w:space="0"/>
            </w:tcBorders>
            <w:vAlign w:val="center"/>
          </w:tcPr>
          <w:p w14:paraId="2EEAB26E">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EA2CD2C">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15884A0E">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4F6E4DE3">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29AF1E1B">
            <w:pPr>
              <w:widowControl/>
              <w:jc w:val="left"/>
              <w:rPr>
                <w:rFonts w:ascii="宋体" w:hAnsi="宋体" w:eastAsia="宋体" w:cs="宋体"/>
                <w:color w:val="000000"/>
                <w:kern w:val="0"/>
                <w:sz w:val="20"/>
                <w:szCs w:val="20"/>
                <w14:ligatures w14:val="none"/>
              </w:rPr>
            </w:pPr>
          </w:p>
        </w:tc>
        <w:tc>
          <w:tcPr>
            <w:tcW w:w="2750" w:type="pct"/>
            <w:tcBorders>
              <w:top w:val="nil"/>
              <w:left w:val="nil"/>
              <w:bottom w:val="single" w:color="auto" w:sz="4" w:space="0"/>
              <w:right w:val="single" w:color="auto" w:sz="4" w:space="0"/>
            </w:tcBorders>
            <w:shd w:val="clear" w:color="auto" w:fill="auto"/>
            <w:vAlign w:val="center"/>
          </w:tcPr>
          <w:p w14:paraId="24A5C440">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供应商库中的数据可以为合同、项目、商机、资产、审计等子系统进行数据支撑。</w:t>
            </w:r>
          </w:p>
        </w:tc>
      </w:tr>
      <w:tr w14:paraId="3C85B95E">
        <w:tblPrEx>
          <w:tblCellMar>
            <w:top w:w="0" w:type="dxa"/>
            <w:left w:w="108" w:type="dxa"/>
            <w:bottom w:w="0" w:type="dxa"/>
            <w:right w:w="108" w:type="dxa"/>
          </w:tblCellMar>
        </w:tblPrEx>
        <w:trPr>
          <w:trHeight w:val="32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06108BA">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41</w:t>
            </w:r>
          </w:p>
        </w:tc>
        <w:tc>
          <w:tcPr>
            <w:tcW w:w="392" w:type="pct"/>
            <w:vMerge w:val="continue"/>
            <w:tcBorders>
              <w:top w:val="nil"/>
              <w:left w:val="single" w:color="auto" w:sz="4" w:space="0"/>
              <w:bottom w:val="single" w:color="000000" w:sz="4" w:space="0"/>
              <w:right w:val="single" w:color="auto" w:sz="4" w:space="0"/>
            </w:tcBorders>
            <w:vAlign w:val="center"/>
          </w:tcPr>
          <w:p w14:paraId="44CA596F">
            <w:pPr>
              <w:widowControl/>
              <w:jc w:val="left"/>
              <w:rPr>
                <w:rFonts w:ascii="宋体" w:hAnsi="宋体" w:eastAsia="宋体" w:cs="宋体"/>
                <w:color w:val="000000"/>
                <w:kern w:val="0"/>
                <w:sz w:val="20"/>
                <w:szCs w:val="20"/>
                <w14:ligatures w14:val="none"/>
              </w:rPr>
            </w:pPr>
          </w:p>
        </w:tc>
        <w:tc>
          <w:tcPr>
            <w:tcW w:w="1150" w:type="pct"/>
            <w:gridSpan w:val="3"/>
            <w:tcBorders>
              <w:top w:val="single" w:color="auto" w:sz="4" w:space="0"/>
              <w:left w:val="nil"/>
              <w:bottom w:val="single" w:color="auto" w:sz="4" w:space="0"/>
              <w:right w:val="single" w:color="000000" w:sz="4" w:space="0"/>
            </w:tcBorders>
            <w:shd w:val="clear" w:color="auto" w:fill="auto"/>
            <w:vAlign w:val="center"/>
          </w:tcPr>
          <w:p w14:paraId="4CA65029">
            <w:pPr>
              <w:widowControl/>
              <w:jc w:val="center"/>
              <w:rPr>
                <w:rFonts w:ascii="宋体" w:hAnsi="宋体" w:eastAsia="宋体" w:cs="宋体"/>
                <w:b/>
                <w:bCs/>
                <w:color w:val="000000"/>
                <w:kern w:val="0"/>
                <w:sz w:val="20"/>
                <w:szCs w:val="20"/>
                <w14:ligatures w14:val="none"/>
              </w:rPr>
            </w:pPr>
            <w:r>
              <w:rPr>
                <w:rFonts w:hint="eastAsia" w:ascii="宋体" w:hAnsi="宋体" w:eastAsia="宋体" w:cs="宋体"/>
                <w:b/>
                <w:bCs/>
                <w:color w:val="000000"/>
                <w:kern w:val="0"/>
                <w:sz w:val="20"/>
                <w:szCs w:val="20"/>
                <w14:ligatures w14:val="none"/>
              </w:rPr>
              <w:t>单元小计</w:t>
            </w:r>
          </w:p>
        </w:tc>
        <w:tc>
          <w:tcPr>
            <w:tcW w:w="384" w:type="pct"/>
            <w:tcBorders>
              <w:top w:val="nil"/>
              <w:left w:val="nil"/>
              <w:bottom w:val="single" w:color="auto" w:sz="4" w:space="0"/>
              <w:right w:val="single" w:color="auto" w:sz="4" w:space="0"/>
            </w:tcBorders>
            <w:shd w:val="clear" w:color="auto" w:fill="auto"/>
            <w:vAlign w:val="center"/>
          </w:tcPr>
          <w:p w14:paraId="1AA963D6">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　</w:t>
            </w:r>
          </w:p>
        </w:tc>
        <w:tc>
          <w:tcPr>
            <w:tcW w:w="2750" w:type="pct"/>
            <w:tcBorders>
              <w:top w:val="nil"/>
              <w:left w:val="nil"/>
              <w:bottom w:val="single" w:color="auto" w:sz="4" w:space="0"/>
              <w:right w:val="single" w:color="auto" w:sz="4" w:space="0"/>
            </w:tcBorders>
            <w:shd w:val="clear" w:color="auto" w:fill="auto"/>
            <w:vAlign w:val="center"/>
          </w:tcPr>
          <w:p w14:paraId="6778FBE2">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　</w:t>
            </w:r>
          </w:p>
        </w:tc>
      </w:tr>
      <w:tr w14:paraId="172C01FF">
        <w:tblPrEx>
          <w:tblCellMar>
            <w:top w:w="0" w:type="dxa"/>
            <w:left w:w="108" w:type="dxa"/>
            <w:bottom w:w="0" w:type="dxa"/>
            <w:right w:w="108" w:type="dxa"/>
          </w:tblCellMar>
        </w:tblPrEx>
        <w:trPr>
          <w:trHeight w:val="156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F3BD59F">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42</w:t>
            </w:r>
          </w:p>
        </w:tc>
        <w:tc>
          <w:tcPr>
            <w:tcW w:w="392" w:type="pct"/>
            <w:vMerge w:val="continue"/>
            <w:tcBorders>
              <w:top w:val="nil"/>
              <w:left w:val="single" w:color="auto" w:sz="4" w:space="0"/>
              <w:bottom w:val="single" w:color="000000" w:sz="4" w:space="0"/>
              <w:right w:val="single" w:color="auto" w:sz="4" w:space="0"/>
            </w:tcBorders>
            <w:vAlign w:val="center"/>
          </w:tcPr>
          <w:p w14:paraId="3E0A7537">
            <w:pPr>
              <w:widowControl/>
              <w:jc w:val="left"/>
              <w:rPr>
                <w:rFonts w:ascii="宋体" w:hAnsi="宋体" w:eastAsia="宋体" w:cs="宋体"/>
                <w:color w:val="000000"/>
                <w:kern w:val="0"/>
                <w:sz w:val="20"/>
                <w:szCs w:val="20"/>
                <w14:ligatures w14:val="none"/>
              </w:rPr>
            </w:pPr>
          </w:p>
        </w:tc>
        <w:tc>
          <w:tcPr>
            <w:tcW w:w="381" w:type="pct"/>
            <w:vMerge w:val="restart"/>
            <w:tcBorders>
              <w:top w:val="nil"/>
              <w:left w:val="single" w:color="auto" w:sz="4" w:space="0"/>
              <w:bottom w:val="single" w:color="000000" w:sz="4" w:space="0"/>
              <w:right w:val="single" w:color="auto" w:sz="4" w:space="0"/>
            </w:tcBorders>
            <w:shd w:val="clear" w:color="auto" w:fill="auto"/>
            <w:vAlign w:val="center"/>
          </w:tcPr>
          <w:p w14:paraId="0EFEAA18">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统一门户</w:t>
            </w:r>
          </w:p>
        </w:tc>
        <w:tc>
          <w:tcPr>
            <w:tcW w:w="384" w:type="pct"/>
            <w:vMerge w:val="restart"/>
            <w:tcBorders>
              <w:top w:val="nil"/>
              <w:left w:val="single" w:color="auto" w:sz="4" w:space="0"/>
              <w:bottom w:val="single" w:color="000000" w:sz="4" w:space="0"/>
              <w:right w:val="single" w:color="auto" w:sz="4" w:space="0"/>
            </w:tcBorders>
            <w:shd w:val="clear" w:color="auto" w:fill="auto"/>
            <w:vAlign w:val="center"/>
          </w:tcPr>
          <w:p w14:paraId="166237B5">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单点登录</w:t>
            </w:r>
          </w:p>
        </w:tc>
        <w:tc>
          <w:tcPr>
            <w:tcW w:w="384" w:type="pct"/>
            <w:vMerge w:val="restart"/>
            <w:tcBorders>
              <w:top w:val="nil"/>
              <w:left w:val="single" w:color="auto" w:sz="4" w:space="0"/>
              <w:bottom w:val="single" w:color="000000" w:sz="4" w:space="0"/>
              <w:right w:val="single" w:color="auto" w:sz="4" w:space="0"/>
            </w:tcBorders>
            <w:shd w:val="clear" w:color="auto" w:fill="auto"/>
            <w:vAlign w:val="center"/>
          </w:tcPr>
          <w:p w14:paraId="5E1B693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统一身份认证</w:t>
            </w:r>
          </w:p>
        </w:tc>
        <w:tc>
          <w:tcPr>
            <w:tcW w:w="384" w:type="pct"/>
            <w:tcBorders>
              <w:top w:val="nil"/>
              <w:left w:val="nil"/>
              <w:bottom w:val="single" w:color="auto" w:sz="4" w:space="0"/>
              <w:right w:val="single" w:color="auto" w:sz="4" w:space="0"/>
            </w:tcBorders>
            <w:shd w:val="clear" w:color="auto" w:fill="auto"/>
            <w:vAlign w:val="center"/>
          </w:tcPr>
          <w:p w14:paraId="656AF35E">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身份源整合</w:t>
            </w:r>
          </w:p>
        </w:tc>
        <w:tc>
          <w:tcPr>
            <w:tcW w:w="2750" w:type="pct"/>
            <w:tcBorders>
              <w:top w:val="nil"/>
              <w:left w:val="nil"/>
              <w:bottom w:val="single" w:color="auto" w:sz="4" w:space="0"/>
              <w:right w:val="single" w:color="auto" w:sz="4" w:space="0"/>
            </w:tcBorders>
            <w:shd w:val="clear" w:color="auto" w:fill="auto"/>
            <w:vAlign w:val="center"/>
          </w:tcPr>
          <w:p w14:paraId="038051E9">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对接集团现有身份体系，同步全集团用户基础信息，作为唯一身份数据源。支持子公司级身份映射，保留子公司原有账号体系的同时，关联集团统一用户 ID，实现 “一次认证、全域通行”。</w:t>
            </w:r>
          </w:p>
        </w:tc>
      </w:tr>
      <w:tr w14:paraId="55464F5C">
        <w:tblPrEx>
          <w:tblCellMar>
            <w:top w:w="0" w:type="dxa"/>
            <w:left w:w="108" w:type="dxa"/>
            <w:bottom w:w="0" w:type="dxa"/>
            <w:right w:w="108" w:type="dxa"/>
          </w:tblCellMar>
        </w:tblPrEx>
        <w:trPr>
          <w:trHeight w:val="156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A5C017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43</w:t>
            </w:r>
          </w:p>
        </w:tc>
        <w:tc>
          <w:tcPr>
            <w:tcW w:w="392" w:type="pct"/>
            <w:vMerge w:val="continue"/>
            <w:tcBorders>
              <w:top w:val="nil"/>
              <w:left w:val="single" w:color="auto" w:sz="4" w:space="0"/>
              <w:bottom w:val="single" w:color="000000" w:sz="4" w:space="0"/>
              <w:right w:val="single" w:color="auto" w:sz="4" w:space="0"/>
            </w:tcBorders>
            <w:vAlign w:val="center"/>
          </w:tcPr>
          <w:p w14:paraId="635163E9">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4E94C05">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119971C0">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4ED7F555">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410F7485">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用户自助</w:t>
            </w:r>
          </w:p>
        </w:tc>
        <w:tc>
          <w:tcPr>
            <w:tcW w:w="2750" w:type="pct"/>
            <w:tcBorders>
              <w:top w:val="nil"/>
              <w:left w:val="nil"/>
              <w:bottom w:val="single" w:color="auto" w:sz="4" w:space="0"/>
              <w:right w:val="single" w:color="auto" w:sz="4" w:space="0"/>
            </w:tcBorders>
            <w:shd w:val="clear" w:color="auto" w:fill="auto"/>
            <w:vAlign w:val="center"/>
          </w:tcPr>
          <w:p w14:paraId="15BF90BB">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提供密码重置、手机号/邮箱更新、登录日志查询等自助功能，子公司管理员可管理本单位用户的账号状态（启用/禁用），集团管理员拥有全域账号管理权限。</w:t>
            </w:r>
          </w:p>
        </w:tc>
      </w:tr>
      <w:tr w14:paraId="103B6D39">
        <w:tblPrEx>
          <w:tblCellMar>
            <w:top w:w="0" w:type="dxa"/>
            <w:left w:w="108" w:type="dxa"/>
            <w:bottom w:w="0" w:type="dxa"/>
            <w:right w:w="108" w:type="dxa"/>
          </w:tblCellMar>
        </w:tblPrEx>
        <w:trPr>
          <w:trHeight w:val="125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0009F19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44</w:t>
            </w:r>
          </w:p>
        </w:tc>
        <w:tc>
          <w:tcPr>
            <w:tcW w:w="392" w:type="pct"/>
            <w:vMerge w:val="continue"/>
            <w:tcBorders>
              <w:top w:val="nil"/>
              <w:left w:val="single" w:color="auto" w:sz="4" w:space="0"/>
              <w:bottom w:val="single" w:color="000000" w:sz="4" w:space="0"/>
              <w:right w:val="single" w:color="auto" w:sz="4" w:space="0"/>
            </w:tcBorders>
            <w:vAlign w:val="center"/>
          </w:tcPr>
          <w:p w14:paraId="1F872F17">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3AB6BC21">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2184E164">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6C2EE937">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334F7A83">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权限映射</w:t>
            </w:r>
          </w:p>
        </w:tc>
        <w:tc>
          <w:tcPr>
            <w:tcW w:w="2750" w:type="pct"/>
            <w:tcBorders>
              <w:top w:val="nil"/>
              <w:left w:val="nil"/>
              <w:bottom w:val="single" w:color="auto" w:sz="4" w:space="0"/>
              <w:right w:val="single" w:color="auto" w:sz="4" w:space="0"/>
            </w:tcBorders>
            <w:shd w:val="clear" w:color="auto" w:fill="auto"/>
            <w:vAlign w:val="center"/>
          </w:tcPr>
          <w:p w14:paraId="1591B120">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建立“集团-子公司-部门-岗位”四级权限模型，将用户在身份中心的角色映射至各模块的功能权限，支持模块级、功能级、数据级的精细化权限控制。</w:t>
            </w:r>
          </w:p>
        </w:tc>
      </w:tr>
      <w:tr w14:paraId="66CF6130">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B5B25BA">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45</w:t>
            </w:r>
          </w:p>
        </w:tc>
        <w:tc>
          <w:tcPr>
            <w:tcW w:w="392" w:type="pct"/>
            <w:vMerge w:val="continue"/>
            <w:tcBorders>
              <w:top w:val="nil"/>
              <w:left w:val="single" w:color="auto" w:sz="4" w:space="0"/>
              <w:bottom w:val="single" w:color="000000" w:sz="4" w:space="0"/>
              <w:right w:val="single" w:color="auto" w:sz="4" w:space="0"/>
            </w:tcBorders>
            <w:vAlign w:val="center"/>
          </w:tcPr>
          <w:p w14:paraId="3D97DEC0">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2559740F">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12B121A6">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412B7077">
            <w:pPr>
              <w:widowControl/>
              <w:jc w:val="left"/>
              <w:rPr>
                <w:rFonts w:ascii="宋体" w:hAnsi="宋体" w:eastAsia="宋体" w:cs="宋体"/>
                <w:color w:val="000000"/>
                <w:kern w:val="0"/>
                <w:sz w:val="20"/>
                <w:szCs w:val="20"/>
                <w14:ligatures w14:val="none"/>
              </w:rPr>
            </w:pPr>
          </w:p>
        </w:tc>
        <w:tc>
          <w:tcPr>
            <w:tcW w:w="384" w:type="pct"/>
            <w:tcBorders>
              <w:top w:val="nil"/>
              <w:left w:val="nil"/>
              <w:bottom w:val="single" w:color="auto" w:sz="4" w:space="0"/>
              <w:right w:val="single" w:color="auto" w:sz="4" w:space="0"/>
            </w:tcBorders>
            <w:shd w:val="clear" w:color="auto" w:fill="auto"/>
            <w:vAlign w:val="center"/>
          </w:tcPr>
          <w:p w14:paraId="70EA8590">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会话管理</w:t>
            </w:r>
          </w:p>
        </w:tc>
        <w:tc>
          <w:tcPr>
            <w:tcW w:w="2750" w:type="pct"/>
            <w:tcBorders>
              <w:top w:val="nil"/>
              <w:left w:val="nil"/>
              <w:bottom w:val="single" w:color="auto" w:sz="4" w:space="0"/>
              <w:right w:val="single" w:color="auto" w:sz="4" w:space="0"/>
            </w:tcBorders>
            <w:shd w:val="clear" w:color="auto" w:fill="auto"/>
            <w:vAlign w:val="center"/>
          </w:tcPr>
          <w:p w14:paraId="5B6E82A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全局会话超时统一设置，超时后自动跳转至登录页。支持 “一处登录、多处在线”，用户在 PC 端、移动端（APP / 小程序）登录状态实时同步。提供 “强制登出” 功能，管理员可远程终止异常会话</w:t>
            </w:r>
          </w:p>
        </w:tc>
      </w:tr>
      <w:tr w14:paraId="0D6162B3">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224C1D61">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46</w:t>
            </w:r>
          </w:p>
        </w:tc>
        <w:tc>
          <w:tcPr>
            <w:tcW w:w="392" w:type="pct"/>
            <w:vMerge w:val="continue"/>
            <w:tcBorders>
              <w:top w:val="nil"/>
              <w:left w:val="single" w:color="auto" w:sz="4" w:space="0"/>
              <w:bottom w:val="single" w:color="000000" w:sz="4" w:space="0"/>
              <w:right w:val="single" w:color="auto" w:sz="4" w:space="0"/>
            </w:tcBorders>
            <w:vAlign w:val="center"/>
          </w:tcPr>
          <w:p w14:paraId="3EAEE39B">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471A2653">
            <w:pPr>
              <w:widowControl/>
              <w:jc w:val="left"/>
              <w:rPr>
                <w:rFonts w:ascii="宋体" w:hAnsi="宋体" w:eastAsia="宋体" w:cs="宋体"/>
                <w:color w:val="000000"/>
                <w:kern w:val="0"/>
                <w:sz w:val="20"/>
                <w:szCs w:val="20"/>
                <w14:ligatures w14:val="none"/>
              </w:rPr>
            </w:pPr>
          </w:p>
        </w:tc>
        <w:tc>
          <w:tcPr>
            <w:tcW w:w="384" w:type="pct"/>
            <w:vMerge w:val="restart"/>
            <w:tcBorders>
              <w:top w:val="nil"/>
              <w:left w:val="single" w:color="auto" w:sz="4" w:space="0"/>
              <w:bottom w:val="single" w:color="000000" w:sz="4" w:space="0"/>
              <w:right w:val="single" w:color="auto" w:sz="4" w:space="0"/>
            </w:tcBorders>
            <w:shd w:val="clear" w:color="auto" w:fill="auto"/>
            <w:vAlign w:val="center"/>
          </w:tcPr>
          <w:p w14:paraId="1279BD3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统一工作台</w:t>
            </w:r>
          </w:p>
        </w:tc>
        <w:tc>
          <w:tcPr>
            <w:tcW w:w="768" w:type="pct"/>
            <w:gridSpan w:val="2"/>
            <w:tcBorders>
              <w:top w:val="single" w:color="auto" w:sz="4" w:space="0"/>
              <w:left w:val="nil"/>
              <w:bottom w:val="nil"/>
              <w:right w:val="single" w:color="000000" w:sz="4" w:space="0"/>
            </w:tcBorders>
            <w:shd w:val="clear" w:color="auto" w:fill="auto"/>
            <w:vAlign w:val="center"/>
          </w:tcPr>
          <w:p w14:paraId="5609D60D">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领导工作台</w:t>
            </w:r>
          </w:p>
        </w:tc>
        <w:tc>
          <w:tcPr>
            <w:tcW w:w="2750" w:type="pct"/>
            <w:tcBorders>
              <w:top w:val="nil"/>
              <w:left w:val="nil"/>
              <w:bottom w:val="single" w:color="auto" w:sz="4" w:space="0"/>
              <w:right w:val="single" w:color="auto" w:sz="4" w:space="0"/>
            </w:tcBorders>
            <w:shd w:val="clear" w:color="auto" w:fill="auto"/>
            <w:vAlign w:val="center"/>
          </w:tcPr>
          <w:p w14:paraId="4CADA2FD">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平台需支持为管理层提供业务数据分析，在线快速全面了解组织运营数据；支持把领导关心的数据分类聚合并推送到领导工作平台；支持把领导审批的流程、催办、督办的流程、交办事宜处理情况自动汇总到领导门户。</w:t>
            </w:r>
          </w:p>
        </w:tc>
      </w:tr>
      <w:tr w14:paraId="462B2772">
        <w:tblPrEx>
          <w:tblCellMar>
            <w:top w:w="0" w:type="dxa"/>
            <w:left w:w="108" w:type="dxa"/>
            <w:bottom w:w="0" w:type="dxa"/>
            <w:right w:w="108" w:type="dxa"/>
          </w:tblCellMar>
        </w:tblPrEx>
        <w:trPr>
          <w:trHeight w:val="187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4936F46D">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47</w:t>
            </w:r>
          </w:p>
        </w:tc>
        <w:tc>
          <w:tcPr>
            <w:tcW w:w="392" w:type="pct"/>
            <w:vMerge w:val="continue"/>
            <w:tcBorders>
              <w:top w:val="nil"/>
              <w:left w:val="single" w:color="auto" w:sz="4" w:space="0"/>
              <w:bottom w:val="single" w:color="000000" w:sz="4" w:space="0"/>
              <w:right w:val="single" w:color="auto" w:sz="4" w:space="0"/>
            </w:tcBorders>
            <w:vAlign w:val="center"/>
          </w:tcPr>
          <w:p w14:paraId="33709C2C">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18B6089A">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6C4BA8FE">
            <w:pPr>
              <w:widowControl/>
              <w:jc w:val="left"/>
              <w:rPr>
                <w:rFonts w:ascii="宋体" w:hAnsi="宋体" w:eastAsia="宋体" w:cs="宋体"/>
                <w:color w:val="000000"/>
                <w:kern w:val="0"/>
                <w:sz w:val="20"/>
                <w:szCs w:val="20"/>
                <w14:ligatures w14:val="none"/>
              </w:rPr>
            </w:pPr>
          </w:p>
        </w:tc>
        <w:tc>
          <w:tcPr>
            <w:tcW w:w="768" w:type="pct"/>
            <w:gridSpan w:val="2"/>
            <w:tcBorders>
              <w:top w:val="single" w:color="auto" w:sz="4" w:space="0"/>
              <w:left w:val="nil"/>
              <w:bottom w:val="nil"/>
              <w:right w:val="single" w:color="000000" w:sz="4" w:space="0"/>
            </w:tcBorders>
            <w:shd w:val="clear" w:color="auto" w:fill="auto"/>
            <w:vAlign w:val="center"/>
          </w:tcPr>
          <w:p w14:paraId="73EFC535">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部门工作台</w:t>
            </w:r>
          </w:p>
        </w:tc>
        <w:tc>
          <w:tcPr>
            <w:tcW w:w="2750" w:type="pct"/>
            <w:tcBorders>
              <w:top w:val="nil"/>
              <w:left w:val="nil"/>
              <w:bottom w:val="single" w:color="auto" w:sz="4" w:space="0"/>
              <w:right w:val="single" w:color="auto" w:sz="4" w:space="0"/>
            </w:tcBorders>
            <w:shd w:val="clear" w:color="auto" w:fill="auto"/>
            <w:vAlign w:val="center"/>
          </w:tcPr>
          <w:p w14:paraId="746C2D87">
            <w:pPr>
              <w:widowControl/>
              <w:jc w:val="left"/>
              <w:rPr>
                <w:rFonts w:ascii="宋体" w:hAnsi="宋体" w:eastAsia="宋体" w:cs="宋体"/>
                <w:color w:val="000000"/>
                <w:kern w:val="0"/>
                <w:sz w:val="20"/>
                <w:szCs w:val="20"/>
                <w14:ligatures w14:val="none"/>
              </w:rPr>
            </w:pPr>
            <w:bookmarkStart w:id="6" w:name="RANGE!G48"/>
            <w:r>
              <w:rPr>
                <w:rFonts w:hint="eastAsia" w:ascii="宋体" w:hAnsi="宋体" w:eastAsia="宋体" w:cs="宋体"/>
                <w:color w:val="000000"/>
                <w:kern w:val="0"/>
                <w:sz w:val="20"/>
                <w:szCs w:val="20"/>
                <w14:ligatures w14:val="none"/>
              </w:rPr>
              <w:t>为满足各部门特色业务需求，平台需要支持根据不同职能部门和业务部门的工作内容性质，从而为各个部门设计出有针对性的部门内信息门户，提供常规业务审批、任务待办、消息通知、专用子系统业务入口等专属界面。</w:t>
            </w:r>
            <w:bookmarkEnd w:id="6"/>
          </w:p>
        </w:tc>
      </w:tr>
      <w:tr w14:paraId="7B39AABE">
        <w:tblPrEx>
          <w:tblCellMar>
            <w:top w:w="0" w:type="dxa"/>
            <w:left w:w="108" w:type="dxa"/>
            <w:bottom w:w="0" w:type="dxa"/>
            <w:right w:w="108" w:type="dxa"/>
          </w:tblCellMar>
        </w:tblPrEx>
        <w:trPr>
          <w:trHeight w:val="2493"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026CE33A">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48</w:t>
            </w:r>
          </w:p>
        </w:tc>
        <w:tc>
          <w:tcPr>
            <w:tcW w:w="392" w:type="pct"/>
            <w:vMerge w:val="continue"/>
            <w:tcBorders>
              <w:top w:val="nil"/>
              <w:left w:val="single" w:color="auto" w:sz="4" w:space="0"/>
              <w:bottom w:val="single" w:color="000000" w:sz="4" w:space="0"/>
              <w:right w:val="single" w:color="auto" w:sz="4" w:space="0"/>
            </w:tcBorders>
            <w:vAlign w:val="center"/>
          </w:tcPr>
          <w:p w14:paraId="77F31123">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6E87780E">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000000" w:sz="4" w:space="0"/>
              <w:right w:val="single" w:color="auto" w:sz="4" w:space="0"/>
            </w:tcBorders>
            <w:vAlign w:val="center"/>
          </w:tcPr>
          <w:p w14:paraId="04C9F806">
            <w:pPr>
              <w:widowControl/>
              <w:jc w:val="left"/>
              <w:rPr>
                <w:rFonts w:ascii="宋体" w:hAnsi="宋体" w:eastAsia="宋体" w:cs="宋体"/>
                <w:color w:val="000000"/>
                <w:kern w:val="0"/>
                <w:sz w:val="20"/>
                <w:szCs w:val="20"/>
                <w14:ligatures w14:val="none"/>
              </w:rPr>
            </w:pPr>
          </w:p>
        </w:tc>
        <w:tc>
          <w:tcPr>
            <w:tcW w:w="768" w:type="pct"/>
            <w:gridSpan w:val="2"/>
            <w:tcBorders>
              <w:top w:val="single" w:color="auto" w:sz="4" w:space="0"/>
              <w:left w:val="nil"/>
              <w:bottom w:val="nil"/>
              <w:right w:val="single" w:color="000000" w:sz="4" w:space="0"/>
            </w:tcBorders>
            <w:shd w:val="clear" w:color="auto" w:fill="auto"/>
            <w:vAlign w:val="center"/>
          </w:tcPr>
          <w:p w14:paraId="3E2473B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员工工作台</w:t>
            </w:r>
          </w:p>
        </w:tc>
        <w:tc>
          <w:tcPr>
            <w:tcW w:w="2750" w:type="pct"/>
            <w:tcBorders>
              <w:top w:val="nil"/>
              <w:left w:val="nil"/>
              <w:bottom w:val="single" w:color="auto" w:sz="4" w:space="0"/>
              <w:right w:val="single" w:color="auto" w:sz="4" w:space="0"/>
            </w:tcBorders>
            <w:shd w:val="clear" w:color="auto" w:fill="auto"/>
            <w:vAlign w:val="center"/>
          </w:tcPr>
          <w:p w14:paraId="3147249D">
            <w:pPr>
              <w:widowControl/>
              <w:jc w:val="left"/>
              <w:rPr>
                <w:rFonts w:ascii="宋体" w:hAnsi="宋体" w:eastAsia="宋体" w:cs="宋体"/>
                <w:color w:val="000000"/>
                <w:kern w:val="0"/>
                <w:sz w:val="20"/>
                <w:szCs w:val="20"/>
                <w14:ligatures w14:val="none"/>
              </w:rPr>
            </w:pPr>
            <w:bookmarkStart w:id="7" w:name="RANGE!G49"/>
            <w:r>
              <w:rPr>
                <w:rFonts w:hint="eastAsia" w:ascii="宋体" w:hAnsi="宋体" w:eastAsia="宋体" w:cs="宋体"/>
                <w:color w:val="000000"/>
                <w:kern w:val="0"/>
                <w:sz w:val="20"/>
                <w:szCs w:val="20"/>
                <w14:ligatures w14:val="none"/>
              </w:rPr>
              <w:t>平台可以为组织员工提供集中式的待办工作、计划日程处理、知识订阅等个人工作平台。将所有分散的工作事项集中展现，推送给员工，有助于员工实现高效的个人工作管理。员工可以通过门户界面管理设置能力，提供主题设计、样式调整、板块调整、信息布局等自主设计能力。</w:t>
            </w:r>
            <w:bookmarkEnd w:id="7"/>
          </w:p>
        </w:tc>
      </w:tr>
      <w:tr w14:paraId="7E5B15C5">
        <w:tblPrEx>
          <w:tblCellMar>
            <w:top w:w="0" w:type="dxa"/>
            <w:left w:w="108" w:type="dxa"/>
            <w:bottom w:w="0" w:type="dxa"/>
            <w:right w:w="108" w:type="dxa"/>
          </w:tblCellMar>
        </w:tblPrEx>
        <w:trPr>
          <w:trHeight w:val="321"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7F15D922">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49</w:t>
            </w:r>
          </w:p>
        </w:tc>
        <w:tc>
          <w:tcPr>
            <w:tcW w:w="392" w:type="pct"/>
            <w:vMerge w:val="continue"/>
            <w:tcBorders>
              <w:top w:val="nil"/>
              <w:left w:val="single" w:color="auto" w:sz="4" w:space="0"/>
              <w:bottom w:val="single" w:color="000000" w:sz="4" w:space="0"/>
              <w:right w:val="single" w:color="auto" w:sz="4" w:space="0"/>
            </w:tcBorders>
            <w:vAlign w:val="center"/>
          </w:tcPr>
          <w:p w14:paraId="3827CB54">
            <w:pPr>
              <w:widowControl/>
              <w:jc w:val="left"/>
              <w:rPr>
                <w:rFonts w:ascii="宋体" w:hAnsi="宋体" w:eastAsia="宋体" w:cs="宋体"/>
                <w:color w:val="000000"/>
                <w:kern w:val="0"/>
                <w:sz w:val="20"/>
                <w:szCs w:val="20"/>
                <w14:ligatures w14:val="none"/>
              </w:rPr>
            </w:pPr>
          </w:p>
        </w:tc>
        <w:tc>
          <w:tcPr>
            <w:tcW w:w="1150" w:type="pct"/>
            <w:gridSpan w:val="3"/>
            <w:tcBorders>
              <w:top w:val="single" w:color="auto" w:sz="4" w:space="0"/>
              <w:left w:val="nil"/>
              <w:bottom w:val="single" w:color="auto" w:sz="4" w:space="0"/>
              <w:right w:val="nil"/>
            </w:tcBorders>
            <w:shd w:val="clear" w:color="auto" w:fill="auto"/>
            <w:vAlign w:val="center"/>
          </w:tcPr>
          <w:p w14:paraId="7CE21FFF">
            <w:pPr>
              <w:widowControl/>
              <w:jc w:val="center"/>
              <w:rPr>
                <w:rFonts w:ascii="宋体" w:hAnsi="宋体" w:eastAsia="宋体" w:cs="宋体"/>
                <w:b/>
                <w:bCs/>
                <w:color w:val="000000"/>
                <w:kern w:val="0"/>
                <w:sz w:val="20"/>
                <w:szCs w:val="20"/>
                <w14:ligatures w14:val="none"/>
              </w:rPr>
            </w:pPr>
            <w:r>
              <w:rPr>
                <w:rFonts w:hint="eastAsia" w:ascii="宋体" w:hAnsi="宋体" w:eastAsia="宋体" w:cs="宋体"/>
                <w:b/>
                <w:bCs/>
                <w:color w:val="000000"/>
                <w:kern w:val="0"/>
                <w:sz w:val="20"/>
                <w:szCs w:val="20"/>
                <w14:ligatures w14:val="none"/>
              </w:rPr>
              <w:t>单元小计</w:t>
            </w:r>
          </w:p>
        </w:tc>
        <w:tc>
          <w:tcPr>
            <w:tcW w:w="384" w:type="pct"/>
            <w:tcBorders>
              <w:top w:val="nil"/>
              <w:left w:val="nil"/>
              <w:bottom w:val="nil"/>
              <w:right w:val="nil"/>
            </w:tcBorders>
            <w:shd w:val="clear" w:color="auto" w:fill="auto"/>
            <w:vAlign w:val="bottom"/>
          </w:tcPr>
          <w:p w14:paraId="604F2629">
            <w:pPr>
              <w:widowControl/>
              <w:jc w:val="center"/>
              <w:rPr>
                <w:rFonts w:ascii="宋体" w:hAnsi="宋体" w:eastAsia="宋体" w:cs="宋体"/>
                <w:b/>
                <w:bCs/>
                <w:color w:val="000000"/>
                <w:kern w:val="0"/>
                <w:sz w:val="20"/>
                <w:szCs w:val="20"/>
                <w14:ligatures w14:val="none"/>
              </w:rPr>
            </w:pPr>
          </w:p>
        </w:tc>
        <w:tc>
          <w:tcPr>
            <w:tcW w:w="2750" w:type="pct"/>
            <w:tcBorders>
              <w:top w:val="nil"/>
              <w:left w:val="single" w:color="auto" w:sz="4" w:space="0"/>
              <w:bottom w:val="single" w:color="auto" w:sz="4" w:space="0"/>
              <w:right w:val="single" w:color="auto" w:sz="4" w:space="0"/>
            </w:tcBorders>
            <w:shd w:val="clear" w:color="auto" w:fill="auto"/>
            <w:vAlign w:val="center"/>
          </w:tcPr>
          <w:p w14:paraId="1087C6C4">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　</w:t>
            </w:r>
          </w:p>
        </w:tc>
      </w:tr>
      <w:tr w14:paraId="269AEFD1">
        <w:tblPrEx>
          <w:tblCellMar>
            <w:top w:w="0" w:type="dxa"/>
            <w:left w:w="108" w:type="dxa"/>
            <w:bottom w:w="0" w:type="dxa"/>
            <w:right w:w="108" w:type="dxa"/>
          </w:tblCellMar>
        </w:tblPrEx>
        <w:trPr>
          <w:trHeight w:val="218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31E6E55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50</w:t>
            </w:r>
          </w:p>
        </w:tc>
        <w:tc>
          <w:tcPr>
            <w:tcW w:w="392" w:type="pct"/>
            <w:vMerge w:val="continue"/>
            <w:tcBorders>
              <w:top w:val="nil"/>
              <w:left w:val="single" w:color="auto" w:sz="4" w:space="0"/>
              <w:bottom w:val="single" w:color="000000" w:sz="4" w:space="0"/>
              <w:right w:val="single" w:color="auto" w:sz="4" w:space="0"/>
            </w:tcBorders>
            <w:vAlign w:val="center"/>
          </w:tcPr>
          <w:p w14:paraId="4E8FEC76">
            <w:pPr>
              <w:widowControl/>
              <w:jc w:val="left"/>
              <w:rPr>
                <w:rFonts w:ascii="宋体" w:hAnsi="宋体" w:eastAsia="宋体" w:cs="宋体"/>
                <w:color w:val="000000"/>
                <w:kern w:val="0"/>
                <w:sz w:val="20"/>
                <w:szCs w:val="20"/>
                <w14:ligatures w14:val="none"/>
              </w:rPr>
            </w:pPr>
          </w:p>
        </w:tc>
        <w:tc>
          <w:tcPr>
            <w:tcW w:w="381" w:type="pct"/>
            <w:vMerge w:val="restart"/>
            <w:tcBorders>
              <w:top w:val="nil"/>
              <w:left w:val="single" w:color="auto" w:sz="4" w:space="0"/>
              <w:bottom w:val="single" w:color="000000" w:sz="4" w:space="0"/>
              <w:right w:val="single" w:color="auto" w:sz="4" w:space="0"/>
            </w:tcBorders>
            <w:shd w:val="clear" w:color="auto" w:fill="auto"/>
            <w:vAlign w:val="center"/>
          </w:tcPr>
          <w:p w14:paraId="0CC89D68">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经营目标管理</w:t>
            </w:r>
          </w:p>
        </w:tc>
        <w:tc>
          <w:tcPr>
            <w:tcW w:w="384" w:type="pct"/>
            <w:vMerge w:val="restart"/>
            <w:tcBorders>
              <w:top w:val="nil"/>
              <w:left w:val="single" w:color="auto" w:sz="4" w:space="0"/>
              <w:bottom w:val="single" w:color="auto" w:sz="4" w:space="0"/>
              <w:right w:val="single" w:color="auto" w:sz="4" w:space="0"/>
            </w:tcBorders>
            <w:shd w:val="clear" w:color="auto" w:fill="auto"/>
            <w:vAlign w:val="center"/>
          </w:tcPr>
          <w:p w14:paraId="1EA34D67">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经营目标管理</w:t>
            </w:r>
          </w:p>
        </w:tc>
        <w:tc>
          <w:tcPr>
            <w:tcW w:w="768" w:type="pct"/>
            <w:gridSpan w:val="2"/>
            <w:tcBorders>
              <w:top w:val="single" w:color="auto" w:sz="4" w:space="0"/>
              <w:left w:val="nil"/>
              <w:bottom w:val="nil"/>
              <w:right w:val="single" w:color="000000" w:sz="4" w:space="0"/>
            </w:tcBorders>
            <w:shd w:val="clear" w:color="auto" w:fill="auto"/>
            <w:vAlign w:val="center"/>
          </w:tcPr>
          <w:p w14:paraId="1A5E805F">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目标任务下达</w:t>
            </w:r>
          </w:p>
        </w:tc>
        <w:tc>
          <w:tcPr>
            <w:tcW w:w="2750" w:type="pct"/>
            <w:tcBorders>
              <w:top w:val="nil"/>
              <w:left w:val="nil"/>
              <w:bottom w:val="single" w:color="auto" w:sz="4" w:space="0"/>
              <w:right w:val="single" w:color="auto" w:sz="4" w:space="0"/>
            </w:tcBorders>
            <w:shd w:val="clear" w:color="auto" w:fill="auto"/>
            <w:vAlign w:val="center"/>
          </w:tcPr>
          <w:p w14:paraId="7521729E">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集团管理部门可根据集团的年度经营任务进行任务下发。通过在系统中新增年度任务，录入任务类型、任务目标、任务关联部门或子公司、任务考核指标、相关附件材料等信息保存并发布后，各关联部门可以在平台内收到相关任务信息。</w:t>
            </w:r>
          </w:p>
        </w:tc>
      </w:tr>
      <w:tr w14:paraId="22B4DAFA">
        <w:tblPrEx>
          <w:tblCellMar>
            <w:top w:w="0" w:type="dxa"/>
            <w:left w:w="108" w:type="dxa"/>
            <w:bottom w:w="0" w:type="dxa"/>
            <w:right w:w="108" w:type="dxa"/>
          </w:tblCellMar>
        </w:tblPrEx>
        <w:trPr>
          <w:trHeight w:val="3113"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06817A7B">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51</w:t>
            </w:r>
          </w:p>
        </w:tc>
        <w:tc>
          <w:tcPr>
            <w:tcW w:w="392" w:type="pct"/>
            <w:vMerge w:val="continue"/>
            <w:tcBorders>
              <w:top w:val="nil"/>
              <w:left w:val="single" w:color="auto" w:sz="4" w:space="0"/>
              <w:bottom w:val="single" w:color="000000" w:sz="4" w:space="0"/>
              <w:right w:val="single" w:color="auto" w:sz="4" w:space="0"/>
            </w:tcBorders>
            <w:vAlign w:val="center"/>
          </w:tcPr>
          <w:p w14:paraId="74469456">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2A6CA28B">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C74A88E">
            <w:pPr>
              <w:widowControl/>
              <w:jc w:val="left"/>
              <w:rPr>
                <w:rFonts w:ascii="宋体" w:hAnsi="宋体" w:eastAsia="宋体" w:cs="宋体"/>
                <w:color w:val="000000"/>
                <w:kern w:val="0"/>
                <w:sz w:val="20"/>
                <w:szCs w:val="20"/>
                <w14:ligatures w14:val="none"/>
              </w:rPr>
            </w:pPr>
          </w:p>
        </w:tc>
        <w:tc>
          <w:tcPr>
            <w:tcW w:w="768" w:type="pct"/>
            <w:gridSpan w:val="2"/>
            <w:tcBorders>
              <w:top w:val="single" w:color="auto" w:sz="4" w:space="0"/>
              <w:left w:val="nil"/>
              <w:bottom w:val="nil"/>
              <w:right w:val="single" w:color="000000" w:sz="4" w:space="0"/>
            </w:tcBorders>
            <w:shd w:val="clear" w:color="auto" w:fill="auto"/>
            <w:vAlign w:val="center"/>
          </w:tcPr>
          <w:p w14:paraId="2136D63E">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目标进度看板</w:t>
            </w:r>
          </w:p>
        </w:tc>
        <w:tc>
          <w:tcPr>
            <w:tcW w:w="2750" w:type="pct"/>
            <w:tcBorders>
              <w:top w:val="nil"/>
              <w:left w:val="nil"/>
              <w:bottom w:val="single" w:color="auto" w:sz="4" w:space="0"/>
              <w:right w:val="single" w:color="auto" w:sz="4" w:space="0"/>
            </w:tcBorders>
            <w:shd w:val="clear" w:color="auto" w:fill="auto"/>
            <w:vAlign w:val="center"/>
          </w:tcPr>
          <w:p w14:paraId="6382EF2F">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平台可有效整合业务链条中的关键数据，通过合同、项目、商机、财务等系统数据采集统计，直观展示企业营收、净利润、净资产收益、子公司业绩达成等核心指标，点击对应指标即可展开详细数据明细，为各管理层提供有效的实时数据支撑，同时助力决策者深度挖掘数据背后的数据，方便指导推进业务重点，强大的数据支撑为决策提供有效依据。</w:t>
            </w:r>
          </w:p>
        </w:tc>
      </w:tr>
      <w:tr w14:paraId="1FD0F71F">
        <w:tblPrEx>
          <w:tblCellMar>
            <w:top w:w="0" w:type="dxa"/>
            <w:left w:w="108" w:type="dxa"/>
            <w:bottom w:w="0" w:type="dxa"/>
            <w:right w:w="108" w:type="dxa"/>
          </w:tblCellMar>
        </w:tblPrEx>
        <w:trPr>
          <w:trHeight w:val="2192" w:hRule="atLeast"/>
        </w:trPr>
        <w:tc>
          <w:tcPr>
            <w:tcW w:w="321" w:type="pct"/>
            <w:tcBorders>
              <w:top w:val="nil"/>
              <w:left w:val="single" w:color="auto" w:sz="4" w:space="0"/>
              <w:bottom w:val="single" w:color="auto" w:sz="4" w:space="0"/>
              <w:right w:val="single" w:color="auto" w:sz="4" w:space="0"/>
            </w:tcBorders>
            <w:shd w:val="clear" w:color="auto" w:fill="auto"/>
            <w:vAlign w:val="center"/>
          </w:tcPr>
          <w:p w14:paraId="45B881E4">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52</w:t>
            </w:r>
          </w:p>
        </w:tc>
        <w:tc>
          <w:tcPr>
            <w:tcW w:w="392" w:type="pct"/>
            <w:vMerge w:val="continue"/>
            <w:tcBorders>
              <w:top w:val="nil"/>
              <w:left w:val="single" w:color="auto" w:sz="4" w:space="0"/>
              <w:bottom w:val="single" w:color="000000" w:sz="4" w:space="0"/>
              <w:right w:val="single" w:color="auto" w:sz="4" w:space="0"/>
            </w:tcBorders>
            <w:vAlign w:val="center"/>
          </w:tcPr>
          <w:p w14:paraId="17BCD617">
            <w:pPr>
              <w:widowControl/>
              <w:jc w:val="left"/>
              <w:rPr>
                <w:rFonts w:ascii="宋体" w:hAnsi="宋体" w:eastAsia="宋体" w:cs="宋体"/>
                <w:color w:val="000000"/>
                <w:kern w:val="0"/>
                <w:sz w:val="20"/>
                <w:szCs w:val="20"/>
                <w14:ligatures w14:val="none"/>
              </w:rPr>
            </w:pPr>
          </w:p>
        </w:tc>
        <w:tc>
          <w:tcPr>
            <w:tcW w:w="381" w:type="pct"/>
            <w:vMerge w:val="continue"/>
            <w:tcBorders>
              <w:top w:val="nil"/>
              <w:left w:val="single" w:color="auto" w:sz="4" w:space="0"/>
              <w:bottom w:val="single" w:color="000000" w:sz="4" w:space="0"/>
              <w:right w:val="single" w:color="auto" w:sz="4" w:space="0"/>
            </w:tcBorders>
            <w:vAlign w:val="center"/>
          </w:tcPr>
          <w:p w14:paraId="07D6EF7F">
            <w:pPr>
              <w:widowControl/>
              <w:jc w:val="left"/>
              <w:rPr>
                <w:rFonts w:ascii="宋体" w:hAnsi="宋体" w:eastAsia="宋体" w:cs="宋体"/>
                <w:color w:val="000000"/>
                <w:kern w:val="0"/>
                <w:sz w:val="20"/>
                <w:szCs w:val="20"/>
                <w14:ligatures w14:val="none"/>
              </w:rPr>
            </w:pPr>
          </w:p>
        </w:tc>
        <w:tc>
          <w:tcPr>
            <w:tcW w:w="384" w:type="pct"/>
            <w:vMerge w:val="continue"/>
            <w:tcBorders>
              <w:top w:val="nil"/>
              <w:left w:val="single" w:color="auto" w:sz="4" w:space="0"/>
              <w:bottom w:val="single" w:color="auto" w:sz="4" w:space="0"/>
              <w:right w:val="single" w:color="auto" w:sz="4" w:space="0"/>
            </w:tcBorders>
            <w:vAlign w:val="center"/>
          </w:tcPr>
          <w:p w14:paraId="07335BAE">
            <w:pPr>
              <w:widowControl/>
              <w:jc w:val="left"/>
              <w:rPr>
                <w:rFonts w:ascii="宋体" w:hAnsi="宋体" w:eastAsia="宋体" w:cs="宋体"/>
                <w:color w:val="000000"/>
                <w:kern w:val="0"/>
                <w:sz w:val="20"/>
                <w:szCs w:val="20"/>
                <w14:ligatures w14:val="none"/>
              </w:rPr>
            </w:pPr>
          </w:p>
        </w:tc>
        <w:tc>
          <w:tcPr>
            <w:tcW w:w="768" w:type="pct"/>
            <w:gridSpan w:val="2"/>
            <w:tcBorders>
              <w:top w:val="single" w:color="auto" w:sz="4" w:space="0"/>
              <w:left w:val="nil"/>
              <w:bottom w:val="nil"/>
              <w:right w:val="single" w:color="000000" w:sz="4" w:space="0"/>
            </w:tcBorders>
            <w:shd w:val="clear" w:color="auto" w:fill="auto"/>
            <w:vAlign w:val="center"/>
          </w:tcPr>
          <w:p w14:paraId="2FE22FD9">
            <w:pPr>
              <w:widowControl/>
              <w:jc w:val="center"/>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目标执行预警</w:t>
            </w:r>
          </w:p>
        </w:tc>
        <w:tc>
          <w:tcPr>
            <w:tcW w:w="2750" w:type="pct"/>
            <w:tcBorders>
              <w:top w:val="nil"/>
              <w:left w:val="nil"/>
              <w:bottom w:val="single" w:color="auto" w:sz="4" w:space="0"/>
              <w:right w:val="single" w:color="auto" w:sz="4" w:space="0"/>
            </w:tcBorders>
            <w:shd w:val="clear" w:color="auto" w:fill="auto"/>
            <w:vAlign w:val="center"/>
          </w:tcPr>
          <w:p w14:paraId="07C5E3F6">
            <w:pPr>
              <w:widowControl/>
              <w:jc w:val="left"/>
              <w:rPr>
                <w:rFonts w:ascii="宋体" w:hAnsi="宋体" w:eastAsia="宋体" w:cs="宋体"/>
                <w:color w:val="000000"/>
                <w:kern w:val="0"/>
                <w:sz w:val="20"/>
                <w:szCs w:val="20"/>
                <w14:ligatures w14:val="none"/>
              </w:rPr>
            </w:pPr>
            <w:r>
              <w:rPr>
                <w:rFonts w:hint="eastAsia" w:ascii="宋体" w:hAnsi="宋体" w:eastAsia="宋体" w:cs="宋体"/>
                <w:color w:val="000000"/>
                <w:kern w:val="0"/>
                <w:sz w:val="20"/>
                <w:szCs w:val="20"/>
                <w14:ligatures w14:val="none"/>
              </w:rPr>
              <w:t>抓取经营重点数据，统计分析关键指标，通过折线图、柱状图等图表形式直观</w:t>
            </w:r>
            <w:r>
              <w:rPr>
                <w:rFonts w:hint="eastAsia" w:ascii="宋体" w:hAnsi="宋体" w:eastAsia="宋体" w:cs="宋体"/>
                <w:color w:val="000000"/>
                <w:kern w:val="0"/>
                <w:sz w:val="20"/>
                <w:szCs w:val="20"/>
                <w:lang w:eastAsia="zh-CN"/>
                <w14:ligatures w14:val="none"/>
              </w:rPr>
              <w:t>展示</w:t>
            </w:r>
            <w:r>
              <w:rPr>
                <w:rFonts w:hint="eastAsia" w:ascii="宋体" w:hAnsi="宋体" w:eastAsia="宋体" w:cs="宋体"/>
                <w:color w:val="000000"/>
                <w:kern w:val="0"/>
                <w:sz w:val="20"/>
                <w:szCs w:val="20"/>
                <w14:ligatures w14:val="none"/>
              </w:rPr>
              <w:t>完成情况，分析对比任务和实际执行的差距，结合时间线对相关经营目标达成有可能产生风险的情况进行预警信息提醒，为部门和经办人有效开展经营分析，为企业决策提供可靠依据。</w:t>
            </w:r>
          </w:p>
        </w:tc>
      </w:tr>
    </w:tbl>
    <w:p w14:paraId="7B6E0765"/>
    <w:p w14:paraId="2F85F48B">
      <w:pPr>
        <w:pStyle w:val="3"/>
        <w:numPr>
          <w:numId w:val="0"/>
        </w:numPr>
        <w:ind w:leftChars="0"/>
        <w:rPr>
          <w:rFonts w:hint="eastAsia" w:ascii="黑体" w:hAnsi="黑体" w:eastAsia="黑体"/>
        </w:rPr>
      </w:pPr>
      <w:bookmarkStart w:id="8" w:name="_Toc207125849"/>
    </w:p>
    <w:p w14:paraId="531DC55F">
      <w:pPr>
        <w:pStyle w:val="3"/>
        <w:numPr>
          <w:numId w:val="0"/>
        </w:numPr>
        <w:ind w:leftChars="0"/>
        <w:rPr>
          <w:rFonts w:ascii="黑体" w:hAnsi="黑体" w:eastAsia="黑体"/>
        </w:rPr>
      </w:pPr>
      <w:r>
        <w:rPr>
          <w:rFonts w:hint="eastAsia" w:ascii="黑体" w:hAnsi="黑体" w:eastAsia="黑体"/>
        </w:rPr>
        <w:t>共性软件定制开发工作量清单</w:t>
      </w:r>
      <w:bookmarkEnd w:id="8"/>
    </w:p>
    <w:tbl>
      <w:tblPr>
        <w:tblStyle w:val="5"/>
        <w:tblW w:w="0" w:type="auto"/>
        <w:tblInd w:w="0" w:type="dxa"/>
        <w:tblLayout w:type="autofit"/>
        <w:tblCellMar>
          <w:top w:w="0" w:type="dxa"/>
          <w:left w:w="108" w:type="dxa"/>
          <w:bottom w:w="0" w:type="dxa"/>
          <w:right w:w="108" w:type="dxa"/>
        </w:tblCellMar>
      </w:tblPr>
      <w:tblGrid>
        <w:gridCol w:w="667"/>
        <w:gridCol w:w="535"/>
        <w:gridCol w:w="535"/>
        <w:gridCol w:w="535"/>
        <w:gridCol w:w="6224"/>
      </w:tblGrid>
      <w:tr w14:paraId="517181AE">
        <w:tblPrEx>
          <w:tblCellMar>
            <w:top w:w="0" w:type="dxa"/>
            <w:left w:w="108" w:type="dxa"/>
            <w:bottom w:w="0" w:type="dxa"/>
            <w:right w:w="108" w:type="dxa"/>
          </w:tblCellMar>
        </w:tblPrEx>
        <w:trPr>
          <w:trHeight w:val="1251" w:hRule="atLeast"/>
        </w:trPr>
        <w:tc>
          <w:tcPr>
            <w:tcW w:w="667" w:type="dxa"/>
            <w:tcBorders>
              <w:top w:val="single" w:color="auto" w:sz="4" w:space="0"/>
              <w:left w:val="single" w:color="auto" w:sz="4" w:space="0"/>
              <w:bottom w:val="single" w:color="auto" w:sz="4" w:space="0"/>
              <w:right w:val="single" w:color="auto" w:sz="4" w:space="0"/>
            </w:tcBorders>
            <w:shd w:val="clear" w:color="auto" w:fill="auto"/>
            <w:vAlign w:val="center"/>
          </w:tcPr>
          <w:p w14:paraId="3F7B80B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序号</w:t>
            </w:r>
          </w:p>
        </w:tc>
        <w:tc>
          <w:tcPr>
            <w:tcW w:w="535" w:type="dxa"/>
            <w:tcBorders>
              <w:top w:val="single" w:color="auto" w:sz="4" w:space="0"/>
              <w:left w:val="nil"/>
              <w:bottom w:val="single" w:color="auto" w:sz="4" w:space="0"/>
              <w:right w:val="single" w:color="auto" w:sz="4" w:space="0"/>
            </w:tcBorders>
            <w:shd w:val="clear" w:color="auto" w:fill="auto"/>
            <w:vAlign w:val="center"/>
          </w:tcPr>
          <w:p w14:paraId="5465461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系统名称</w:t>
            </w:r>
          </w:p>
        </w:tc>
        <w:tc>
          <w:tcPr>
            <w:tcW w:w="535" w:type="dxa"/>
            <w:tcBorders>
              <w:top w:val="single" w:color="auto" w:sz="4" w:space="0"/>
              <w:left w:val="nil"/>
              <w:bottom w:val="single" w:color="auto" w:sz="4" w:space="0"/>
              <w:right w:val="single" w:color="auto" w:sz="4" w:space="0"/>
            </w:tcBorders>
            <w:shd w:val="clear" w:color="auto" w:fill="auto"/>
            <w:vAlign w:val="center"/>
          </w:tcPr>
          <w:p w14:paraId="26A840E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一级功能</w:t>
            </w:r>
          </w:p>
        </w:tc>
        <w:tc>
          <w:tcPr>
            <w:tcW w:w="535" w:type="dxa"/>
            <w:tcBorders>
              <w:top w:val="single" w:color="auto" w:sz="4" w:space="0"/>
              <w:left w:val="nil"/>
              <w:bottom w:val="single" w:color="auto" w:sz="4" w:space="0"/>
              <w:right w:val="single" w:color="auto" w:sz="4" w:space="0"/>
            </w:tcBorders>
            <w:shd w:val="clear" w:color="auto" w:fill="auto"/>
            <w:vAlign w:val="center"/>
          </w:tcPr>
          <w:p w14:paraId="0C1EF5E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二级功能</w:t>
            </w:r>
          </w:p>
        </w:tc>
        <w:tc>
          <w:tcPr>
            <w:tcW w:w="6224" w:type="dxa"/>
            <w:tcBorders>
              <w:top w:val="single" w:color="auto" w:sz="4" w:space="0"/>
              <w:left w:val="nil"/>
              <w:bottom w:val="single" w:color="auto" w:sz="4" w:space="0"/>
              <w:right w:val="single" w:color="auto" w:sz="4" w:space="0"/>
            </w:tcBorders>
            <w:shd w:val="clear" w:color="auto" w:fill="auto"/>
            <w:vAlign w:val="center"/>
          </w:tcPr>
          <w:p w14:paraId="106F3AC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功能描述</w:t>
            </w:r>
          </w:p>
        </w:tc>
      </w:tr>
      <w:tr w14:paraId="7FAB464B">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FD9F86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0E338A3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合同管理</w:t>
            </w: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33EA3B5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合同审批管理</w:t>
            </w:r>
          </w:p>
        </w:tc>
        <w:tc>
          <w:tcPr>
            <w:tcW w:w="535" w:type="dxa"/>
            <w:tcBorders>
              <w:top w:val="nil"/>
              <w:left w:val="nil"/>
              <w:bottom w:val="single" w:color="auto" w:sz="4" w:space="0"/>
              <w:right w:val="single" w:color="auto" w:sz="4" w:space="0"/>
            </w:tcBorders>
            <w:shd w:val="clear" w:color="auto" w:fill="auto"/>
            <w:vAlign w:val="center"/>
          </w:tcPr>
          <w:p w14:paraId="2CC6715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审批流程管理</w:t>
            </w:r>
          </w:p>
        </w:tc>
        <w:tc>
          <w:tcPr>
            <w:tcW w:w="6224" w:type="dxa"/>
            <w:tcBorders>
              <w:top w:val="nil"/>
              <w:left w:val="nil"/>
              <w:bottom w:val="single" w:color="auto" w:sz="4" w:space="0"/>
              <w:right w:val="single" w:color="auto" w:sz="4" w:space="0"/>
            </w:tcBorders>
            <w:shd w:val="clear" w:color="auto" w:fill="auto"/>
            <w:noWrap/>
            <w:vAlign w:val="center"/>
          </w:tcPr>
          <w:p w14:paraId="0ACC009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按照组织、类型、区域、金额等要素形成的审批权责矩阵，能够配置合同审批流程，各部门明确权责，实现审核规则落地。可以配置是否超预算、补充条款等复杂情况，可以形成规则策略，便捷提供给流程引用。</w:t>
            </w:r>
          </w:p>
        </w:tc>
      </w:tr>
      <w:tr w14:paraId="33E04C84">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063FF9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w:t>
            </w:r>
          </w:p>
        </w:tc>
        <w:tc>
          <w:tcPr>
            <w:tcW w:w="535" w:type="dxa"/>
            <w:vMerge w:val="continue"/>
            <w:tcBorders>
              <w:top w:val="nil"/>
              <w:left w:val="single" w:color="auto" w:sz="4" w:space="0"/>
              <w:bottom w:val="single" w:color="auto" w:sz="4" w:space="0"/>
              <w:right w:val="single" w:color="auto" w:sz="4" w:space="0"/>
            </w:tcBorders>
            <w:vAlign w:val="center"/>
          </w:tcPr>
          <w:p w14:paraId="61A0AA4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4770C697">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DBEE40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合规校验</w:t>
            </w:r>
          </w:p>
        </w:tc>
        <w:tc>
          <w:tcPr>
            <w:tcW w:w="6224" w:type="dxa"/>
            <w:tcBorders>
              <w:top w:val="nil"/>
              <w:left w:val="nil"/>
              <w:bottom w:val="single" w:color="auto" w:sz="4" w:space="0"/>
              <w:right w:val="single" w:color="auto" w:sz="4" w:space="0"/>
            </w:tcBorders>
            <w:shd w:val="clear" w:color="auto" w:fill="auto"/>
            <w:noWrap/>
            <w:vAlign w:val="center"/>
          </w:tcPr>
          <w:p w14:paraId="61CD5EA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能够将管理、业务、财务相关规则融入规则库，在合同审批过程中进行自动研判，例如合同首付款校验、历史合同均价校验、合同倒签校验等。</w:t>
            </w:r>
          </w:p>
        </w:tc>
      </w:tr>
      <w:tr w14:paraId="2C741CB0">
        <w:tblPrEx>
          <w:tblCellMar>
            <w:top w:w="0" w:type="dxa"/>
            <w:left w:w="108" w:type="dxa"/>
            <w:bottom w:w="0" w:type="dxa"/>
            <w:right w:w="108" w:type="dxa"/>
          </w:tblCellMar>
        </w:tblPrEx>
        <w:trPr>
          <w:trHeight w:val="156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B855BF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w:t>
            </w:r>
          </w:p>
        </w:tc>
        <w:tc>
          <w:tcPr>
            <w:tcW w:w="535" w:type="dxa"/>
            <w:vMerge w:val="continue"/>
            <w:tcBorders>
              <w:top w:val="nil"/>
              <w:left w:val="single" w:color="auto" w:sz="4" w:space="0"/>
              <w:bottom w:val="single" w:color="auto" w:sz="4" w:space="0"/>
              <w:right w:val="single" w:color="auto" w:sz="4" w:space="0"/>
            </w:tcBorders>
            <w:vAlign w:val="center"/>
          </w:tcPr>
          <w:p w14:paraId="22126FE7">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67610F40">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79D673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合同防篡改</w:t>
            </w:r>
          </w:p>
        </w:tc>
        <w:tc>
          <w:tcPr>
            <w:tcW w:w="6224" w:type="dxa"/>
            <w:tcBorders>
              <w:top w:val="nil"/>
              <w:left w:val="nil"/>
              <w:bottom w:val="single" w:color="auto" w:sz="4" w:space="0"/>
              <w:right w:val="single" w:color="auto" w:sz="4" w:space="0"/>
            </w:tcBorders>
            <w:shd w:val="clear" w:color="auto" w:fill="auto"/>
            <w:noWrap/>
            <w:vAlign w:val="center"/>
          </w:tcPr>
          <w:p w14:paraId="5D5C2D1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流程审批完毕后，形成待用印合同文件，可在指定位置，插入自定义水印或者二维码。</w:t>
            </w:r>
          </w:p>
        </w:tc>
      </w:tr>
      <w:tr w14:paraId="4BE06B84">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DAAFA8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w:t>
            </w:r>
          </w:p>
        </w:tc>
        <w:tc>
          <w:tcPr>
            <w:tcW w:w="535" w:type="dxa"/>
            <w:vMerge w:val="continue"/>
            <w:tcBorders>
              <w:top w:val="nil"/>
              <w:left w:val="single" w:color="auto" w:sz="4" w:space="0"/>
              <w:bottom w:val="single" w:color="auto" w:sz="4" w:space="0"/>
              <w:right w:val="single" w:color="auto" w:sz="4" w:space="0"/>
            </w:tcBorders>
            <w:vAlign w:val="center"/>
          </w:tcPr>
          <w:p w14:paraId="44ECF219">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nil"/>
              <w:right w:val="single" w:color="auto" w:sz="4" w:space="0"/>
            </w:tcBorders>
            <w:shd w:val="clear" w:color="auto" w:fill="auto"/>
            <w:vAlign w:val="center"/>
          </w:tcPr>
          <w:p w14:paraId="42A6FBC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合同履约管理</w:t>
            </w:r>
          </w:p>
        </w:tc>
        <w:tc>
          <w:tcPr>
            <w:tcW w:w="535" w:type="dxa"/>
            <w:tcBorders>
              <w:top w:val="nil"/>
              <w:left w:val="nil"/>
              <w:bottom w:val="single" w:color="auto" w:sz="4" w:space="0"/>
              <w:right w:val="single" w:color="auto" w:sz="4" w:space="0"/>
            </w:tcBorders>
            <w:shd w:val="clear" w:color="auto" w:fill="auto"/>
            <w:vAlign w:val="center"/>
          </w:tcPr>
          <w:p w14:paraId="6C909C5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合同台账管理</w:t>
            </w:r>
          </w:p>
        </w:tc>
        <w:tc>
          <w:tcPr>
            <w:tcW w:w="6224" w:type="dxa"/>
            <w:tcBorders>
              <w:top w:val="nil"/>
              <w:left w:val="nil"/>
              <w:bottom w:val="single" w:color="auto" w:sz="4" w:space="0"/>
              <w:right w:val="single" w:color="auto" w:sz="4" w:space="0"/>
            </w:tcBorders>
            <w:shd w:val="clear" w:color="auto" w:fill="auto"/>
            <w:noWrap/>
            <w:vAlign w:val="center"/>
          </w:tcPr>
          <w:p w14:paraId="3CFC618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平台能根据系统内产生的合同数据信息自动生成合同数据库，用户可通过合同数据能够按组织、区域、产品等单独赋权，能够从业务维度去汇总及查看合同台账信息。</w:t>
            </w:r>
          </w:p>
        </w:tc>
      </w:tr>
      <w:tr w14:paraId="52BD54A4">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5AF2B0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w:t>
            </w:r>
          </w:p>
        </w:tc>
        <w:tc>
          <w:tcPr>
            <w:tcW w:w="535" w:type="dxa"/>
            <w:vMerge w:val="continue"/>
            <w:tcBorders>
              <w:top w:val="nil"/>
              <w:left w:val="single" w:color="auto" w:sz="4" w:space="0"/>
              <w:bottom w:val="single" w:color="auto" w:sz="4" w:space="0"/>
              <w:right w:val="single" w:color="auto" w:sz="4" w:space="0"/>
            </w:tcBorders>
            <w:vAlign w:val="center"/>
          </w:tcPr>
          <w:p w14:paraId="543749E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32959D6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48AF5A9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合同详情</w:t>
            </w:r>
          </w:p>
        </w:tc>
        <w:tc>
          <w:tcPr>
            <w:tcW w:w="6224" w:type="dxa"/>
            <w:tcBorders>
              <w:top w:val="nil"/>
              <w:left w:val="nil"/>
              <w:bottom w:val="single" w:color="auto" w:sz="4" w:space="0"/>
              <w:right w:val="single" w:color="auto" w:sz="4" w:space="0"/>
            </w:tcBorders>
            <w:shd w:val="clear" w:color="auto" w:fill="auto"/>
            <w:noWrap/>
            <w:vAlign w:val="center"/>
          </w:tcPr>
          <w:p w14:paraId="762803C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通过合同台账信息，可以下钻合同相关的主体信息、补充协议、收/付款记录、开/收票记录、预算、采购、项目、订单等信息，直观了解到合同所有信息。</w:t>
            </w:r>
          </w:p>
        </w:tc>
      </w:tr>
      <w:tr w14:paraId="5E21B47B">
        <w:tblPrEx>
          <w:tblCellMar>
            <w:top w:w="0" w:type="dxa"/>
            <w:left w:w="108" w:type="dxa"/>
            <w:bottom w:w="0" w:type="dxa"/>
            <w:right w:w="108" w:type="dxa"/>
          </w:tblCellMar>
        </w:tblPrEx>
        <w:trPr>
          <w:trHeight w:val="249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B6F92B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w:t>
            </w:r>
          </w:p>
        </w:tc>
        <w:tc>
          <w:tcPr>
            <w:tcW w:w="535" w:type="dxa"/>
            <w:vMerge w:val="continue"/>
            <w:tcBorders>
              <w:top w:val="nil"/>
              <w:left w:val="single" w:color="auto" w:sz="4" w:space="0"/>
              <w:bottom w:val="single" w:color="auto" w:sz="4" w:space="0"/>
              <w:right w:val="single" w:color="auto" w:sz="4" w:space="0"/>
            </w:tcBorders>
            <w:vAlign w:val="center"/>
          </w:tcPr>
          <w:p w14:paraId="139D7D87">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4954CC54">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96CA3C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收付款与发票关联</w:t>
            </w:r>
          </w:p>
        </w:tc>
        <w:tc>
          <w:tcPr>
            <w:tcW w:w="6224" w:type="dxa"/>
            <w:tcBorders>
              <w:top w:val="nil"/>
              <w:left w:val="nil"/>
              <w:bottom w:val="single" w:color="auto" w:sz="4" w:space="0"/>
              <w:right w:val="single" w:color="auto" w:sz="4" w:space="0"/>
            </w:tcBorders>
            <w:shd w:val="clear" w:color="auto" w:fill="auto"/>
            <w:noWrap/>
            <w:vAlign w:val="center"/>
          </w:tcPr>
          <w:p w14:paraId="18AECFB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合同履约后，可以通过流程标准化收付作业，实现合同与收付款、发票等关联匹配，形成统一的收付款计划、收款自动匹配、超付控制的管理。可以提示合同经办人合同相关事项执行跟踪。</w:t>
            </w:r>
          </w:p>
        </w:tc>
      </w:tr>
      <w:tr w14:paraId="68E49DB4">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0DD9D2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w:t>
            </w:r>
          </w:p>
        </w:tc>
        <w:tc>
          <w:tcPr>
            <w:tcW w:w="535" w:type="dxa"/>
            <w:vMerge w:val="continue"/>
            <w:tcBorders>
              <w:top w:val="nil"/>
              <w:left w:val="single" w:color="auto" w:sz="4" w:space="0"/>
              <w:bottom w:val="single" w:color="auto" w:sz="4" w:space="0"/>
              <w:right w:val="single" w:color="auto" w:sz="4" w:space="0"/>
            </w:tcBorders>
            <w:vAlign w:val="center"/>
          </w:tcPr>
          <w:p w14:paraId="32D31D6B">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71018FAB">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880A1E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合同风险监控</w:t>
            </w:r>
          </w:p>
        </w:tc>
        <w:tc>
          <w:tcPr>
            <w:tcW w:w="6224" w:type="dxa"/>
            <w:tcBorders>
              <w:top w:val="nil"/>
              <w:left w:val="nil"/>
              <w:bottom w:val="single" w:color="auto" w:sz="4" w:space="0"/>
              <w:right w:val="single" w:color="auto" w:sz="4" w:space="0"/>
            </w:tcBorders>
            <w:shd w:val="clear" w:color="auto" w:fill="auto"/>
            <w:noWrap/>
            <w:vAlign w:val="center"/>
          </w:tcPr>
          <w:p w14:paraId="7E5CE70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用户可在平台内设计合同履约的风险指标项，通过设定埋点进行监控，一旦超过阈值，自动预警</w:t>
            </w:r>
            <w:r>
              <w:rPr>
                <w:rFonts w:hint="eastAsia" w:ascii="宋体" w:hAnsi="宋体" w:eastAsia="宋体" w:cs="宋体"/>
                <w:color w:val="000000"/>
                <w:kern w:val="0"/>
                <w:szCs w:val="21"/>
                <w:lang w:eastAsia="zh-CN"/>
                <w14:ligatures w14:val="none"/>
              </w:rPr>
              <w:t>提醒</w:t>
            </w:r>
            <w:r>
              <w:rPr>
                <w:rFonts w:hint="eastAsia" w:ascii="宋体" w:hAnsi="宋体" w:eastAsia="宋体" w:cs="宋体"/>
                <w:color w:val="000000"/>
                <w:kern w:val="0"/>
                <w:szCs w:val="21"/>
                <w14:ligatures w14:val="none"/>
              </w:rPr>
              <w:t>相关人员进行风险处置，避免人为管控的疏忽。</w:t>
            </w:r>
          </w:p>
        </w:tc>
      </w:tr>
      <w:tr w14:paraId="2795E8F2">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897092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w:t>
            </w:r>
          </w:p>
        </w:tc>
        <w:tc>
          <w:tcPr>
            <w:tcW w:w="535" w:type="dxa"/>
            <w:vMerge w:val="continue"/>
            <w:tcBorders>
              <w:top w:val="nil"/>
              <w:left w:val="single" w:color="auto" w:sz="4" w:space="0"/>
              <w:bottom w:val="single" w:color="auto" w:sz="4" w:space="0"/>
              <w:right w:val="single" w:color="auto" w:sz="4" w:space="0"/>
            </w:tcBorders>
            <w:vAlign w:val="center"/>
          </w:tcPr>
          <w:p w14:paraId="5E010367">
            <w:pPr>
              <w:widowControl/>
              <w:jc w:val="left"/>
              <w:rPr>
                <w:rFonts w:ascii="宋体" w:hAnsi="宋体" w:eastAsia="宋体" w:cs="宋体"/>
                <w:color w:val="000000"/>
                <w:kern w:val="0"/>
                <w:szCs w:val="21"/>
                <w14:ligatures w14:val="none"/>
              </w:rPr>
            </w:pPr>
          </w:p>
        </w:tc>
        <w:tc>
          <w:tcPr>
            <w:tcW w:w="535"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7345180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合同归档管理</w:t>
            </w:r>
          </w:p>
        </w:tc>
        <w:tc>
          <w:tcPr>
            <w:tcW w:w="535" w:type="dxa"/>
            <w:tcBorders>
              <w:top w:val="nil"/>
              <w:left w:val="nil"/>
              <w:bottom w:val="single" w:color="auto" w:sz="4" w:space="0"/>
              <w:right w:val="single" w:color="auto" w:sz="4" w:space="0"/>
            </w:tcBorders>
            <w:shd w:val="clear" w:color="auto" w:fill="auto"/>
            <w:vAlign w:val="center"/>
          </w:tcPr>
          <w:p w14:paraId="3D8141E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合同归档</w:t>
            </w:r>
          </w:p>
        </w:tc>
        <w:tc>
          <w:tcPr>
            <w:tcW w:w="6224" w:type="dxa"/>
            <w:tcBorders>
              <w:top w:val="nil"/>
              <w:left w:val="nil"/>
              <w:bottom w:val="single" w:color="auto" w:sz="4" w:space="0"/>
              <w:right w:val="single" w:color="auto" w:sz="4" w:space="0"/>
            </w:tcBorders>
            <w:shd w:val="clear" w:color="auto" w:fill="auto"/>
            <w:noWrap/>
            <w:vAlign w:val="center"/>
          </w:tcPr>
          <w:p w14:paraId="1C7A717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合同所有的文档、正文、附件、签批件、订单、发票、收付信息，自动数字化归档，可以进一步生成电子存证，实现合同自动数字化统一归档。</w:t>
            </w:r>
          </w:p>
        </w:tc>
      </w:tr>
      <w:tr w14:paraId="6221E928">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35A863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w:t>
            </w:r>
          </w:p>
        </w:tc>
        <w:tc>
          <w:tcPr>
            <w:tcW w:w="535" w:type="dxa"/>
            <w:vMerge w:val="continue"/>
            <w:tcBorders>
              <w:top w:val="nil"/>
              <w:left w:val="single" w:color="auto" w:sz="4" w:space="0"/>
              <w:bottom w:val="single" w:color="auto" w:sz="4" w:space="0"/>
              <w:right w:val="single" w:color="auto" w:sz="4" w:space="0"/>
            </w:tcBorders>
            <w:vAlign w:val="center"/>
          </w:tcPr>
          <w:p w14:paraId="148F1C68">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443FCA19">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1D2D21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归档多维度检索</w:t>
            </w:r>
          </w:p>
        </w:tc>
        <w:tc>
          <w:tcPr>
            <w:tcW w:w="6224" w:type="dxa"/>
            <w:tcBorders>
              <w:top w:val="nil"/>
              <w:left w:val="nil"/>
              <w:bottom w:val="single" w:color="auto" w:sz="4" w:space="0"/>
              <w:right w:val="single" w:color="auto" w:sz="4" w:space="0"/>
            </w:tcBorders>
            <w:shd w:val="clear" w:color="auto" w:fill="auto"/>
            <w:noWrap/>
            <w:vAlign w:val="center"/>
          </w:tcPr>
          <w:p w14:paraId="172887B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通过多维标签技术，合同本身的要素以及相关项目、订单、供应商、收付、发票等信息都能够成为检索要素，同时提供全文检索。</w:t>
            </w:r>
          </w:p>
        </w:tc>
      </w:tr>
      <w:tr w14:paraId="767AA7F3">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65AEB6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w:t>
            </w:r>
          </w:p>
        </w:tc>
        <w:tc>
          <w:tcPr>
            <w:tcW w:w="535" w:type="dxa"/>
            <w:vMerge w:val="continue"/>
            <w:tcBorders>
              <w:top w:val="nil"/>
              <w:left w:val="single" w:color="auto" w:sz="4" w:space="0"/>
              <w:bottom w:val="single" w:color="auto" w:sz="4" w:space="0"/>
              <w:right w:val="single" w:color="auto" w:sz="4" w:space="0"/>
            </w:tcBorders>
            <w:vAlign w:val="center"/>
          </w:tcPr>
          <w:p w14:paraId="2583B5A8">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159F7D7A">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D5D420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合同数据共享</w:t>
            </w:r>
          </w:p>
        </w:tc>
        <w:tc>
          <w:tcPr>
            <w:tcW w:w="6224" w:type="dxa"/>
            <w:tcBorders>
              <w:top w:val="nil"/>
              <w:left w:val="nil"/>
              <w:bottom w:val="single" w:color="auto" w:sz="4" w:space="0"/>
              <w:right w:val="single" w:color="auto" w:sz="4" w:space="0"/>
            </w:tcBorders>
            <w:shd w:val="clear" w:color="auto" w:fill="auto"/>
            <w:noWrap/>
            <w:vAlign w:val="center"/>
          </w:tcPr>
          <w:p w14:paraId="1558FFB0">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合同的数据、流程以及智能化的能力都可以被项目、审计、商机等系统所引用，不用关注数据是否存在合同系统中</w:t>
            </w:r>
          </w:p>
        </w:tc>
      </w:tr>
      <w:tr w14:paraId="7CB936BB">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9D5F1D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w:t>
            </w:r>
          </w:p>
        </w:tc>
        <w:tc>
          <w:tcPr>
            <w:tcW w:w="535" w:type="dxa"/>
            <w:vMerge w:val="continue"/>
            <w:tcBorders>
              <w:top w:val="nil"/>
              <w:left w:val="single" w:color="auto" w:sz="4" w:space="0"/>
              <w:bottom w:val="single" w:color="auto" w:sz="4" w:space="0"/>
              <w:right w:val="single" w:color="auto" w:sz="4" w:space="0"/>
            </w:tcBorders>
            <w:vAlign w:val="center"/>
          </w:tcPr>
          <w:p w14:paraId="5D30446A">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0DFBF8B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合同数据分析</w:t>
            </w:r>
          </w:p>
        </w:tc>
        <w:tc>
          <w:tcPr>
            <w:tcW w:w="535" w:type="dxa"/>
            <w:tcBorders>
              <w:top w:val="nil"/>
              <w:left w:val="nil"/>
              <w:bottom w:val="single" w:color="auto" w:sz="4" w:space="0"/>
              <w:right w:val="single" w:color="auto" w:sz="4" w:space="0"/>
            </w:tcBorders>
            <w:shd w:val="clear" w:color="auto" w:fill="auto"/>
            <w:vAlign w:val="center"/>
          </w:tcPr>
          <w:p w14:paraId="18FF510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合同数据报表</w:t>
            </w:r>
          </w:p>
        </w:tc>
        <w:tc>
          <w:tcPr>
            <w:tcW w:w="6224" w:type="dxa"/>
            <w:tcBorders>
              <w:top w:val="nil"/>
              <w:left w:val="nil"/>
              <w:bottom w:val="single" w:color="auto" w:sz="4" w:space="0"/>
              <w:right w:val="single" w:color="auto" w:sz="4" w:space="0"/>
            </w:tcBorders>
            <w:shd w:val="clear" w:color="auto" w:fill="auto"/>
            <w:noWrap/>
            <w:vAlign w:val="center"/>
          </w:tcPr>
          <w:p w14:paraId="2AF49230">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通过数据中心，将合同数据与业财数据关联，提供合同签署、执行、风险报表，全面反映组织真实经营状况。</w:t>
            </w:r>
          </w:p>
        </w:tc>
      </w:tr>
      <w:tr w14:paraId="6AE44BFF">
        <w:tblPrEx>
          <w:tblCellMar>
            <w:top w:w="0" w:type="dxa"/>
            <w:left w:w="108" w:type="dxa"/>
            <w:bottom w:w="0" w:type="dxa"/>
            <w:right w:w="108" w:type="dxa"/>
          </w:tblCellMar>
        </w:tblPrEx>
        <w:trPr>
          <w:trHeight w:val="9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0F73B3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w:t>
            </w:r>
          </w:p>
        </w:tc>
        <w:tc>
          <w:tcPr>
            <w:tcW w:w="535" w:type="dxa"/>
            <w:vMerge w:val="continue"/>
            <w:tcBorders>
              <w:top w:val="nil"/>
              <w:left w:val="single" w:color="auto" w:sz="4" w:space="0"/>
              <w:bottom w:val="single" w:color="auto" w:sz="4" w:space="0"/>
              <w:right w:val="single" w:color="auto" w:sz="4" w:space="0"/>
            </w:tcBorders>
            <w:vAlign w:val="center"/>
          </w:tcPr>
          <w:p w14:paraId="0EA05689">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495D29B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16855C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报表数据下钻</w:t>
            </w:r>
          </w:p>
        </w:tc>
        <w:tc>
          <w:tcPr>
            <w:tcW w:w="6224" w:type="dxa"/>
            <w:tcBorders>
              <w:top w:val="nil"/>
              <w:left w:val="nil"/>
              <w:bottom w:val="single" w:color="auto" w:sz="4" w:space="0"/>
              <w:right w:val="single" w:color="auto" w:sz="4" w:space="0"/>
            </w:tcBorders>
            <w:shd w:val="clear" w:color="auto" w:fill="auto"/>
            <w:noWrap/>
            <w:vAlign w:val="center"/>
          </w:tcPr>
          <w:p w14:paraId="77A0339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所有形成的图表都能够进行穿透和下钻，从可视化图表到统计报表再到列表数据，最终直至单个合同的实际执行情况，都能够获取。</w:t>
            </w:r>
          </w:p>
        </w:tc>
      </w:tr>
      <w:tr w14:paraId="4561C813">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0BEDC2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w:t>
            </w:r>
          </w:p>
        </w:tc>
        <w:tc>
          <w:tcPr>
            <w:tcW w:w="535" w:type="dxa"/>
            <w:vMerge w:val="continue"/>
            <w:tcBorders>
              <w:top w:val="nil"/>
              <w:left w:val="single" w:color="auto" w:sz="4" w:space="0"/>
              <w:bottom w:val="single" w:color="auto" w:sz="4" w:space="0"/>
              <w:right w:val="single" w:color="auto" w:sz="4" w:space="0"/>
            </w:tcBorders>
            <w:vAlign w:val="center"/>
          </w:tcPr>
          <w:p w14:paraId="79F9A05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38F14B5F">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85F305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敏感数据加解密</w:t>
            </w:r>
          </w:p>
        </w:tc>
        <w:tc>
          <w:tcPr>
            <w:tcW w:w="6224" w:type="dxa"/>
            <w:tcBorders>
              <w:top w:val="nil"/>
              <w:left w:val="nil"/>
              <w:bottom w:val="single" w:color="auto" w:sz="4" w:space="0"/>
              <w:right w:val="single" w:color="auto" w:sz="4" w:space="0"/>
            </w:tcBorders>
            <w:shd w:val="clear" w:color="auto" w:fill="auto"/>
            <w:noWrap/>
            <w:vAlign w:val="center"/>
          </w:tcPr>
          <w:p w14:paraId="504E0FD0">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可对特定合同类别中的重要数据、敏感数据，如合同金额、相对方等进行数据库加密存储，查看数据时需进行二次身份验证，非格式化数据可设置密码保护。</w:t>
            </w:r>
          </w:p>
        </w:tc>
      </w:tr>
      <w:tr w14:paraId="7E52D469">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453250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w:t>
            </w:r>
          </w:p>
        </w:tc>
        <w:tc>
          <w:tcPr>
            <w:tcW w:w="1605" w:type="dxa"/>
            <w:gridSpan w:val="3"/>
            <w:tcBorders>
              <w:top w:val="single" w:color="auto" w:sz="4" w:space="0"/>
              <w:left w:val="nil"/>
              <w:bottom w:val="single" w:color="auto" w:sz="4" w:space="0"/>
              <w:right w:val="single" w:color="000000" w:sz="4" w:space="0"/>
            </w:tcBorders>
            <w:shd w:val="clear" w:color="auto" w:fill="auto"/>
            <w:vAlign w:val="center"/>
          </w:tcPr>
          <w:p w14:paraId="652E3508">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6224" w:type="dxa"/>
            <w:tcBorders>
              <w:top w:val="nil"/>
              <w:left w:val="nil"/>
              <w:bottom w:val="single" w:color="auto" w:sz="4" w:space="0"/>
              <w:right w:val="single" w:color="auto" w:sz="4" w:space="0"/>
            </w:tcBorders>
            <w:shd w:val="clear" w:color="auto" w:fill="auto"/>
            <w:noWrap/>
            <w:vAlign w:val="center"/>
          </w:tcPr>
          <w:p w14:paraId="7004E079">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05DD74BF">
        <w:tblPrEx>
          <w:tblCellMar>
            <w:top w:w="0" w:type="dxa"/>
            <w:left w:w="108" w:type="dxa"/>
            <w:bottom w:w="0" w:type="dxa"/>
            <w:right w:w="108" w:type="dxa"/>
          </w:tblCellMar>
        </w:tblPrEx>
        <w:trPr>
          <w:trHeight w:val="280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F1A476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15</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3D68AAB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项目管理系统</w:t>
            </w:r>
          </w:p>
        </w:tc>
        <w:tc>
          <w:tcPr>
            <w:tcW w:w="535" w:type="dxa"/>
            <w:vMerge w:val="restart"/>
            <w:tcBorders>
              <w:top w:val="nil"/>
              <w:left w:val="single" w:color="auto" w:sz="4" w:space="0"/>
              <w:bottom w:val="nil"/>
              <w:right w:val="single" w:color="auto" w:sz="4" w:space="0"/>
            </w:tcBorders>
            <w:shd w:val="clear" w:color="auto" w:fill="auto"/>
            <w:vAlign w:val="center"/>
          </w:tcPr>
          <w:p w14:paraId="3B895F4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基础数据管理</w:t>
            </w:r>
          </w:p>
        </w:tc>
        <w:tc>
          <w:tcPr>
            <w:tcW w:w="535" w:type="dxa"/>
            <w:tcBorders>
              <w:top w:val="nil"/>
              <w:left w:val="nil"/>
              <w:bottom w:val="single" w:color="auto" w:sz="4" w:space="0"/>
              <w:right w:val="single" w:color="auto" w:sz="4" w:space="0"/>
            </w:tcBorders>
            <w:shd w:val="clear" w:color="auto" w:fill="auto"/>
            <w:vAlign w:val="center"/>
          </w:tcPr>
          <w:p w14:paraId="215B56B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项目分类与标签管理</w:t>
            </w:r>
          </w:p>
        </w:tc>
        <w:tc>
          <w:tcPr>
            <w:tcW w:w="6224" w:type="dxa"/>
            <w:tcBorders>
              <w:top w:val="nil"/>
              <w:left w:val="nil"/>
              <w:bottom w:val="single" w:color="auto" w:sz="4" w:space="0"/>
              <w:right w:val="single" w:color="auto" w:sz="4" w:space="0"/>
            </w:tcBorders>
            <w:shd w:val="clear" w:color="auto" w:fill="auto"/>
            <w:noWrap/>
            <w:vAlign w:val="center"/>
          </w:tcPr>
          <w:p w14:paraId="31DA7CA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通过预设分类维度（如投资项目细分基金/战略/财务 /并购，采购项目细分设备/服务/工程等）和自定义标签（如优先级、业务领域、合作模式），实现项目多维度归类，便于统计分析与精准筛选。</w:t>
            </w:r>
          </w:p>
        </w:tc>
      </w:tr>
      <w:tr w14:paraId="4C913755">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D79F02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16</w:t>
            </w:r>
          </w:p>
        </w:tc>
        <w:tc>
          <w:tcPr>
            <w:tcW w:w="535" w:type="dxa"/>
            <w:vMerge w:val="continue"/>
            <w:tcBorders>
              <w:top w:val="nil"/>
              <w:left w:val="single" w:color="auto" w:sz="4" w:space="0"/>
              <w:bottom w:val="single" w:color="auto" w:sz="4" w:space="0"/>
              <w:right w:val="single" w:color="auto" w:sz="4" w:space="0"/>
            </w:tcBorders>
            <w:vAlign w:val="center"/>
          </w:tcPr>
          <w:p w14:paraId="75E2169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3E28AB40">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335223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接口适配</w:t>
            </w:r>
          </w:p>
        </w:tc>
        <w:tc>
          <w:tcPr>
            <w:tcW w:w="6224" w:type="dxa"/>
            <w:tcBorders>
              <w:top w:val="nil"/>
              <w:left w:val="nil"/>
              <w:bottom w:val="single" w:color="auto" w:sz="4" w:space="0"/>
              <w:right w:val="single" w:color="auto" w:sz="4" w:space="0"/>
            </w:tcBorders>
            <w:shd w:val="clear" w:color="auto" w:fill="auto"/>
            <w:noWrap/>
            <w:vAlign w:val="center"/>
          </w:tcPr>
          <w:p w14:paraId="0D774D6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开发通用接口适配器，支持与子公司现有系统（如创投项目管理系统、科贷系统、载体系统）对接，兼容 RESTful、WebService 等主流接口协议，无需改造子公司系统即可实现数据交互。</w:t>
            </w:r>
          </w:p>
        </w:tc>
      </w:tr>
      <w:tr w14:paraId="3F69A7C8">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586EB8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17</w:t>
            </w:r>
          </w:p>
        </w:tc>
        <w:tc>
          <w:tcPr>
            <w:tcW w:w="535" w:type="dxa"/>
            <w:vMerge w:val="continue"/>
            <w:tcBorders>
              <w:top w:val="nil"/>
              <w:left w:val="single" w:color="auto" w:sz="4" w:space="0"/>
              <w:bottom w:val="single" w:color="auto" w:sz="4" w:space="0"/>
              <w:right w:val="single" w:color="auto" w:sz="4" w:space="0"/>
            </w:tcBorders>
            <w:vAlign w:val="center"/>
          </w:tcPr>
          <w:p w14:paraId="3C92AF79">
            <w:pPr>
              <w:widowControl/>
              <w:jc w:val="left"/>
              <w:rPr>
                <w:rFonts w:ascii="宋体" w:hAnsi="宋体" w:eastAsia="宋体" w:cs="宋体"/>
                <w:color w:val="000000"/>
                <w:kern w:val="0"/>
                <w:szCs w:val="21"/>
                <w14:ligatures w14:val="none"/>
              </w:rPr>
            </w:pPr>
          </w:p>
        </w:tc>
        <w:tc>
          <w:tcPr>
            <w:tcW w:w="53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4241EC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数据映射同步</w:t>
            </w:r>
          </w:p>
        </w:tc>
        <w:tc>
          <w:tcPr>
            <w:tcW w:w="535" w:type="dxa"/>
            <w:tcBorders>
              <w:top w:val="nil"/>
              <w:left w:val="nil"/>
              <w:bottom w:val="single" w:color="auto" w:sz="4" w:space="0"/>
              <w:right w:val="single" w:color="auto" w:sz="4" w:space="0"/>
            </w:tcBorders>
            <w:shd w:val="clear" w:color="auto" w:fill="auto"/>
            <w:vAlign w:val="center"/>
          </w:tcPr>
          <w:p w14:paraId="27AD20A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数据字典映射</w:t>
            </w:r>
          </w:p>
        </w:tc>
        <w:tc>
          <w:tcPr>
            <w:tcW w:w="6224" w:type="dxa"/>
            <w:tcBorders>
              <w:top w:val="nil"/>
              <w:left w:val="nil"/>
              <w:bottom w:val="single" w:color="auto" w:sz="4" w:space="0"/>
              <w:right w:val="single" w:color="auto" w:sz="4" w:space="0"/>
            </w:tcBorders>
            <w:shd w:val="clear" w:color="auto" w:fill="auto"/>
            <w:noWrap/>
            <w:vAlign w:val="center"/>
          </w:tcPr>
          <w:p w14:paraId="186166C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建立集团标准数据与子公司系统数据的映射关系（如子公司 “项目编号”对应集团“统一编码”，子公司“风险等级”对应集团“风险评估分数”），自动完成字段转换。</w:t>
            </w:r>
          </w:p>
        </w:tc>
      </w:tr>
      <w:tr w14:paraId="689095EB">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9CD56F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18</w:t>
            </w:r>
          </w:p>
        </w:tc>
        <w:tc>
          <w:tcPr>
            <w:tcW w:w="535" w:type="dxa"/>
            <w:vMerge w:val="continue"/>
            <w:tcBorders>
              <w:top w:val="nil"/>
              <w:left w:val="single" w:color="auto" w:sz="4" w:space="0"/>
              <w:bottom w:val="single" w:color="auto" w:sz="4" w:space="0"/>
              <w:right w:val="single" w:color="auto" w:sz="4" w:space="0"/>
            </w:tcBorders>
            <w:vAlign w:val="center"/>
          </w:tcPr>
          <w:p w14:paraId="549B4E72">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auto" w:sz="4" w:space="0"/>
              <w:right w:val="single" w:color="auto" w:sz="4" w:space="0"/>
            </w:tcBorders>
            <w:vAlign w:val="center"/>
          </w:tcPr>
          <w:p w14:paraId="0CF34DD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4D3877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同步策略配置</w:t>
            </w:r>
          </w:p>
        </w:tc>
        <w:tc>
          <w:tcPr>
            <w:tcW w:w="6224" w:type="dxa"/>
            <w:tcBorders>
              <w:top w:val="nil"/>
              <w:left w:val="nil"/>
              <w:bottom w:val="single" w:color="auto" w:sz="4" w:space="0"/>
              <w:right w:val="single" w:color="auto" w:sz="4" w:space="0"/>
            </w:tcBorders>
            <w:shd w:val="clear" w:color="auto" w:fill="auto"/>
            <w:noWrap/>
            <w:vAlign w:val="center"/>
          </w:tcPr>
          <w:p w14:paraId="03AEE72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支持实时同步、定时同步、手动触发同步等三方系统数据接入同步方式配置管理。设置相关数据同步模式后，项目管理系统即按规则</w:t>
            </w:r>
            <w:r>
              <w:rPr>
                <w:rFonts w:hint="eastAsia" w:ascii="宋体" w:hAnsi="宋体" w:eastAsia="宋体" w:cs="宋体"/>
                <w:color w:val="000000"/>
                <w:kern w:val="0"/>
                <w:szCs w:val="21"/>
                <w:lang w:eastAsia="zh-CN"/>
                <w14:ligatures w14:val="none"/>
              </w:rPr>
              <w:t>和第</w:t>
            </w:r>
            <w:r>
              <w:rPr>
                <w:rFonts w:hint="eastAsia" w:ascii="宋体" w:hAnsi="宋体" w:eastAsia="宋体" w:cs="宋体"/>
                <w:color w:val="000000"/>
                <w:kern w:val="0"/>
                <w:szCs w:val="21"/>
                <w14:ligatures w14:val="none"/>
              </w:rPr>
              <w:t>三方系统进行数据同步。</w:t>
            </w:r>
          </w:p>
        </w:tc>
      </w:tr>
      <w:tr w14:paraId="56A09288">
        <w:tblPrEx>
          <w:tblCellMar>
            <w:top w:w="0" w:type="dxa"/>
            <w:left w:w="108" w:type="dxa"/>
            <w:bottom w:w="0" w:type="dxa"/>
            <w:right w:w="108" w:type="dxa"/>
          </w:tblCellMar>
        </w:tblPrEx>
        <w:trPr>
          <w:trHeight w:val="280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F3095A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19</w:t>
            </w:r>
          </w:p>
        </w:tc>
        <w:tc>
          <w:tcPr>
            <w:tcW w:w="535" w:type="dxa"/>
            <w:vMerge w:val="continue"/>
            <w:tcBorders>
              <w:top w:val="nil"/>
              <w:left w:val="single" w:color="auto" w:sz="4" w:space="0"/>
              <w:bottom w:val="single" w:color="auto" w:sz="4" w:space="0"/>
              <w:right w:val="single" w:color="auto" w:sz="4" w:space="0"/>
            </w:tcBorders>
            <w:vAlign w:val="center"/>
          </w:tcPr>
          <w:p w14:paraId="4B027420">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44B0FF8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项目阶段配置</w:t>
            </w:r>
          </w:p>
        </w:tc>
        <w:tc>
          <w:tcPr>
            <w:tcW w:w="535" w:type="dxa"/>
            <w:tcBorders>
              <w:top w:val="nil"/>
              <w:left w:val="nil"/>
              <w:bottom w:val="single" w:color="auto" w:sz="4" w:space="0"/>
              <w:right w:val="single" w:color="auto" w:sz="4" w:space="0"/>
            </w:tcBorders>
            <w:shd w:val="clear" w:color="auto" w:fill="auto"/>
            <w:vAlign w:val="center"/>
          </w:tcPr>
          <w:p w14:paraId="7A0F0F7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里程碑阶段配置</w:t>
            </w:r>
          </w:p>
        </w:tc>
        <w:tc>
          <w:tcPr>
            <w:tcW w:w="6224" w:type="dxa"/>
            <w:tcBorders>
              <w:top w:val="nil"/>
              <w:left w:val="nil"/>
              <w:bottom w:val="single" w:color="auto" w:sz="4" w:space="0"/>
              <w:right w:val="single" w:color="auto" w:sz="4" w:space="0"/>
            </w:tcBorders>
            <w:shd w:val="clear" w:color="auto" w:fill="auto"/>
            <w:noWrap/>
            <w:vAlign w:val="center"/>
          </w:tcPr>
          <w:p w14:paraId="099732D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基于各类项目共性的关键节点（如立项、审批、执行、验收等），支持自定义项目阶段与里程碑设置，可预设不同类型项目的标准阶段模板。投资项目可以设置立项申请→预审评估→尽职调查→投资决策→合同签订→资金投放→投后管理→项目退出（或结项）。采购项目可设置需求申报→采购审批→招标/询价→中标公示→合同签订→履约交付→验收结算→档案归档等节点。服务类项目可以设置服务签约→阶段付款→服务执行→服务交付→服务结算评价等节点。</w:t>
            </w:r>
          </w:p>
        </w:tc>
      </w:tr>
      <w:tr w14:paraId="530ACEE4">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E6F5B4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20</w:t>
            </w:r>
          </w:p>
        </w:tc>
        <w:tc>
          <w:tcPr>
            <w:tcW w:w="535" w:type="dxa"/>
            <w:vMerge w:val="continue"/>
            <w:tcBorders>
              <w:top w:val="nil"/>
              <w:left w:val="single" w:color="auto" w:sz="4" w:space="0"/>
              <w:bottom w:val="single" w:color="auto" w:sz="4" w:space="0"/>
              <w:right w:val="single" w:color="auto" w:sz="4" w:space="0"/>
            </w:tcBorders>
            <w:vAlign w:val="center"/>
          </w:tcPr>
          <w:p w14:paraId="67970448">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7B5A6026">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5A402E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任务分解配置</w:t>
            </w:r>
          </w:p>
        </w:tc>
        <w:tc>
          <w:tcPr>
            <w:tcW w:w="6224" w:type="dxa"/>
            <w:tcBorders>
              <w:top w:val="nil"/>
              <w:left w:val="nil"/>
              <w:bottom w:val="single" w:color="auto" w:sz="4" w:space="0"/>
              <w:right w:val="single" w:color="auto" w:sz="4" w:space="0"/>
            </w:tcBorders>
            <w:shd w:val="clear" w:color="auto" w:fill="auto"/>
            <w:noWrap/>
            <w:vAlign w:val="center"/>
          </w:tcPr>
          <w:p w14:paraId="400DCBA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采用 WBS（工作分解结构）方法，将项目目标拆解为可执行的子任务，支持任务层级划分、负责人分配、时间节点设定、依赖关系关联，形成可视化任务清单，适配各类项目的任务管理需求。</w:t>
            </w:r>
          </w:p>
        </w:tc>
      </w:tr>
      <w:tr w14:paraId="5389679A">
        <w:tblPrEx>
          <w:tblCellMar>
            <w:top w:w="0" w:type="dxa"/>
            <w:left w:w="108" w:type="dxa"/>
            <w:bottom w:w="0" w:type="dxa"/>
            <w:right w:w="108" w:type="dxa"/>
          </w:tblCellMar>
        </w:tblPrEx>
        <w:trPr>
          <w:trHeight w:val="9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5FC3DD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21</w:t>
            </w:r>
          </w:p>
        </w:tc>
        <w:tc>
          <w:tcPr>
            <w:tcW w:w="535" w:type="dxa"/>
            <w:vMerge w:val="continue"/>
            <w:tcBorders>
              <w:top w:val="nil"/>
              <w:left w:val="single" w:color="auto" w:sz="4" w:space="0"/>
              <w:bottom w:val="single" w:color="auto" w:sz="4" w:space="0"/>
              <w:right w:val="single" w:color="auto" w:sz="4" w:space="0"/>
            </w:tcBorders>
            <w:vAlign w:val="center"/>
          </w:tcPr>
          <w:p w14:paraId="59008BF9">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3E7902E7">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411564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进度跟踪与预警配置</w:t>
            </w:r>
          </w:p>
        </w:tc>
        <w:tc>
          <w:tcPr>
            <w:tcW w:w="6224" w:type="dxa"/>
            <w:tcBorders>
              <w:top w:val="nil"/>
              <w:left w:val="nil"/>
              <w:bottom w:val="single" w:color="auto" w:sz="4" w:space="0"/>
              <w:right w:val="single" w:color="auto" w:sz="4" w:space="0"/>
            </w:tcBorders>
            <w:shd w:val="clear" w:color="auto" w:fill="auto"/>
            <w:noWrap/>
            <w:vAlign w:val="center"/>
          </w:tcPr>
          <w:p w14:paraId="6D5376E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通过甘特图、进度条等可视化工具，对项目管理过程的预警规则进行配置，可实现自动对比计划与实际进度差异，对延期任务、即将到期节点触发预警（如系统通知、待办提醒），确保项目节奏可控。</w:t>
            </w:r>
          </w:p>
        </w:tc>
      </w:tr>
      <w:tr w14:paraId="40016B84">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FA5FE6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22</w:t>
            </w:r>
          </w:p>
        </w:tc>
        <w:tc>
          <w:tcPr>
            <w:tcW w:w="535" w:type="dxa"/>
            <w:vMerge w:val="continue"/>
            <w:tcBorders>
              <w:top w:val="nil"/>
              <w:left w:val="single" w:color="auto" w:sz="4" w:space="0"/>
              <w:bottom w:val="single" w:color="auto" w:sz="4" w:space="0"/>
              <w:right w:val="single" w:color="auto" w:sz="4" w:space="0"/>
            </w:tcBorders>
            <w:vAlign w:val="center"/>
          </w:tcPr>
          <w:p w14:paraId="02D97BC3">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2FA2985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投资项目管理</w:t>
            </w:r>
          </w:p>
        </w:tc>
        <w:tc>
          <w:tcPr>
            <w:tcW w:w="535" w:type="dxa"/>
            <w:tcBorders>
              <w:top w:val="nil"/>
              <w:left w:val="nil"/>
              <w:bottom w:val="single" w:color="auto" w:sz="4" w:space="0"/>
              <w:right w:val="single" w:color="auto" w:sz="4" w:space="0"/>
            </w:tcBorders>
            <w:shd w:val="clear" w:color="auto" w:fill="auto"/>
            <w:vAlign w:val="center"/>
          </w:tcPr>
          <w:p w14:paraId="5A69486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计划编制</w:t>
            </w:r>
          </w:p>
        </w:tc>
        <w:tc>
          <w:tcPr>
            <w:tcW w:w="6224" w:type="dxa"/>
            <w:tcBorders>
              <w:top w:val="nil"/>
              <w:left w:val="nil"/>
              <w:bottom w:val="single" w:color="auto" w:sz="4" w:space="0"/>
              <w:right w:val="single" w:color="auto" w:sz="4" w:space="0"/>
            </w:tcBorders>
            <w:shd w:val="clear" w:color="auto" w:fill="auto"/>
            <w:noWrap/>
            <w:vAlign w:val="center"/>
          </w:tcPr>
          <w:p w14:paraId="26BAD4F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支持按业务板块、投资领域、时间周期多维度组合编制，灵活修改项目任务的时间节点、资源分配、优先级等关键信息。用户可自定义规则，适配各类投资场景，</w:t>
            </w:r>
            <w:r>
              <w:rPr>
                <w:rFonts w:hint="eastAsia" w:ascii="宋体" w:hAnsi="宋体" w:eastAsia="宋体" w:cs="宋体"/>
                <w:color w:val="000000"/>
                <w:kern w:val="0"/>
                <w:szCs w:val="21"/>
                <w:lang w:eastAsia="zh-CN"/>
                <w14:ligatures w14:val="none"/>
              </w:rPr>
              <w:t>支持</w:t>
            </w:r>
            <w:r>
              <w:rPr>
                <w:rFonts w:hint="eastAsia" w:ascii="宋体" w:hAnsi="宋体" w:eastAsia="宋体" w:cs="宋体"/>
                <w:color w:val="000000"/>
                <w:kern w:val="0"/>
                <w:szCs w:val="21"/>
                <w14:ligatures w14:val="none"/>
              </w:rPr>
              <w:t>中期计划调整。</w:t>
            </w:r>
          </w:p>
        </w:tc>
      </w:tr>
      <w:tr w14:paraId="5343AA40">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A17361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23</w:t>
            </w:r>
          </w:p>
        </w:tc>
        <w:tc>
          <w:tcPr>
            <w:tcW w:w="535" w:type="dxa"/>
            <w:vMerge w:val="continue"/>
            <w:tcBorders>
              <w:top w:val="nil"/>
              <w:left w:val="single" w:color="auto" w:sz="4" w:space="0"/>
              <w:bottom w:val="single" w:color="auto" w:sz="4" w:space="0"/>
              <w:right w:val="single" w:color="auto" w:sz="4" w:space="0"/>
            </w:tcBorders>
            <w:vAlign w:val="center"/>
          </w:tcPr>
          <w:p w14:paraId="1CEA3A7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7AAE608C">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7A1308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模板导入</w:t>
            </w:r>
          </w:p>
        </w:tc>
        <w:tc>
          <w:tcPr>
            <w:tcW w:w="6224" w:type="dxa"/>
            <w:tcBorders>
              <w:top w:val="nil"/>
              <w:left w:val="nil"/>
              <w:bottom w:val="single" w:color="auto" w:sz="4" w:space="0"/>
              <w:right w:val="single" w:color="auto" w:sz="4" w:space="0"/>
            </w:tcBorders>
            <w:shd w:val="clear" w:color="auto" w:fill="auto"/>
            <w:noWrap/>
            <w:vAlign w:val="center"/>
          </w:tcPr>
          <w:p w14:paraId="3475D53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提供标准化模板，支持批量录入项目核心数据。上传后系统自动校验格式与完整性，生成可视化投资计划表，支持导出为 Excel、PDF 格式</w:t>
            </w:r>
          </w:p>
        </w:tc>
      </w:tr>
      <w:tr w14:paraId="0661C19F">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9653F6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24</w:t>
            </w:r>
          </w:p>
        </w:tc>
        <w:tc>
          <w:tcPr>
            <w:tcW w:w="535" w:type="dxa"/>
            <w:vMerge w:val="continue"/>
            <w:tcBorders>
              <w:top w:val="nil"/>
              <w:left w:val="single" w:color="auto" w:sz="4" w:space="0"/>
              <w:bottom w:val="single" w:color="auto" w:sz="4" w:space="0"/>
              <w:right w:val="single" w:color="auto" w:sz="4" w:space="0"/>
            </w:tcBorders>
            <w:vAlign w:val="center"/>
          </w:tcPr>
          <w:p w14:paraId="6E93C89A">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2B42D28F">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91DC94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立项申请与审批</w:t>
            </w:r>
          </w:p>
        </w:tc>
        <w:tc>
          <w:tcPr>
            <w:tcW w:w="6224" w:type="dxa"/>
            <w:tcBorders>
              <w:top w:val="nil"/>
              <w:left w:val="nil"/>
              <w:bottom w:val="single" w:color="auto" w:sz="4" w:space="0"/>
              <w:right w:val="single" w:color="auto" w:sz="4" w:space="0"/>
            </w:tcBorders>
            <w:shd w:val="clear" w:color="auto" w:fill="auto"/>
            <w:noWrap/>
            <w:vAlign w:val="center"/>
          </w:tcPr>
          <w:p w14:paraId="293DD910">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经办人在系统提交包含投资标的基本信息、投资性质、初步可行性分析、资金来源及额度规划等申请材料，系统校验材料完整性后进入立项审批流程。审批过程中，申请人可以看到流程执行节点状态，若被退回，可以重新补充材料后提交。</w:t>
            </w:r>
          </w:p>
        </w:tc>
      </w:tr>
      <w:tr w14:paraId="152C3978">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1C8AF9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25</w:t>
            </w:r>
          </w:p>
        </w:tc>
        <w:tc>
          <w:tcPr>
            <w:tcW w:w="535" w:type="dxa"/>
            <w:vMerge w:val="continue"/>
            <w:tcBorders>
              <w:top w:val="nil"/>
              <w:left w:val="single" w:color="auto" w:sz="4" w:space="0"/>
              <w:bottom w:val="single" w:color="auto" w:sz="4" w:space="0"/>
              <w:right w:val="single" w:color="auto" w:sz="4" w:space="0"/>
            </w:tcBorders>
            <w:vAlign w:val="center"/>
          </w:tcPr>
          <w:p w14:paraId="61766EA1">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743F7C57">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FF0E07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项目预审</w:t>
            </w:r>
          </w:p>
        </w:tc>
        <w:tc>
          <w:tcPr>
            <w:tcW w:w="6224" w:type="dxa"/>
            <w:tcBorders>
              <w:top w:val="nil"/>
              <w:left w:val="nil"/>
              <w:bottom w:val="single" w:color="auto" w:sz="4" w:space="0"/>
              <w:right w:val="single" w:color="auto" w:sz="4" w:space="0"/>
            </w:tcBorders>
            <w:shd w:val="clear" w:color="auto" w:fill="auto"/>
            <w:noWrap/>
            <w:vAlign w:val="center"/>
          </w:tcPr>
          <w:p w14:paraId="7402A84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提交立项申请后，系统触发预审流程，自动推送任务至项目预审相关负责人。支持并行审查与顺序审批两种模式，各部门可在线填写合规性审查意见，支持批注文档、添加风险提示标签。提供预审进度跟踪面板，申请人可实时查看各环节审批状态、审查意见及评分明细，支持在线补充材料与沟通反馈。</w:t>
            </w:r>
          </w:p>
        </w:tc>
      </w:tr>
      <w:tr w14:paraId="34DC39B4">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1B3D5D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26</w:t>
            </w:r>
          </w:p>
        </w:tc>
        <w:tc>
          <w:tcPr>
            <w:tcW w:w="535" w:type="dxa"/>
            <w:vMerge w:val="continue"/>
            <w:tcBorders>
              <w:top w:val="nil"/>
              <w:left w:val="single" w:color="auto" w:sz="4" w:space="0"/>
              <w:bottom w:val="single" w:color="auto" w:sz="4" w:space="0"/>
              <w:right w:val="single" w:color="auto" w:sz="4" w:space="0"/>
            </w:tcBorders>
            <w:vAlign w:val="center"/>
          </w:tcPr>
          <w:p w14:paraId="7B13F715">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4DDD0D57">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0C6C0B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投决管理</w:t>
            </w:r>
          </w:p>
        </w:tc>
        <w:tc>
          <w:tcPr>
            <w:tcW w:w="6224" w:type="dxa"/>
            <w:tcBorders>
              <w:top w:val="nil"/>
              <w:left w:val="nil"/>
              <w:bottom w:val="single" w:color="auto" w:sz="4" w:space="0"/>
              <w:right w:val="single" w:color="auto" w:sz="4" w:space="0"/>
            </w:tcBorders>
            <w:shd w:val="clear" w:color="auto" w:fill="auto"/>
            <w:noWrap/>
            <w:vAlign w:val="center"/>
          </w:tcPr>
          <w:p w14:paraId="1F42343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进入投决管理阶段后，系统可汇总立项材料、尽调材料、风险材料等相关信息，为集团在投决会议、三会管理等过程提供数据支撑。完成三会后，用户可以上传会议决策资料到系统，完善投资决策数据。</w:t>
            </w:r>
          </w:p>
        </w:tc>
      </w:tr>
      <w:tr w14:paraId="524650AC">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DAE891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27</w:t>
            </w:r>
          </w:p>
        </w:tc>
        <w:tc>
          <w:tcPr>
            <w:tcW w:w="535" w:type="dxa"/>
            <w:vMerge w:val="continue"/>
            <w:tcBorders>
              <w:top w:val="nil"/>
              <w:left w:val="single" w:color="auto" w:sz="4" w:space="0"/>
              <w:bottom w:val="single" w:color="auto" w:sz="4" w:space="0"/>
              <w:right w:val="single" w:color="auto" w:sz="4" w:space="0"/>
            </w:tcBorders>
            <w:vAlign w:val="center"/>
          </w:tcPr>
          <w:p w14:paraId="417600F0">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7D3A8BF2">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370D8B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项目数据联动</w:t>
            </w:r>
          </w:p>
        </w:tc>
        <w:tc>
          <w:tcPr>
            <w:tcW w:w="6224" w:type="dxa"/>
            <w:tcBorders>
              <w:top w:val="nil"/>
              <w:left w:val="nil"/>
              <w:bottom w:val="single" w:color="auto" w:sz="4" w:space="0"/>
              <w:right w:val="single" w:color="auto" w:sz="4" w:space="0"/>
            </w:tcBorders>
            <w:shd w:val="clear" w:color="auto" w:fill="auto"/>
            <w:noWrap/>
            <w:vAlign w:val="center"/>
          </w:tcPr>
          <w:p w14:paraId="26148DC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自动汇总项目数据，生成关键指标，以可视化图表展示投资分布与趋势。数据联动修改，项目数据变更时，汇总数据与图表、状态等实时同步更新。深度关联历史投资数据，支持按项目类型、时间周期、投资主体等多维度进行数据筛选与聚合。</w:t>
            </w:r>
          </w:p>
        </w:tc>
      </w:tr>
      <w:tr w14:paraId="4CD02866">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35A5F7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28</w:t>
            </w:r>
          </w:p>
        </w:tc>
        <w:tc>
          <w:tcPr>
            <w:tcW w:w="535" w:type="dxa"/>
            <w:vMerge w:val="continue"/>
            <w:tcBorders>
              <w:top w:val="nil"/>
              <w:left w:val="single" w:color="auto" w:sz="4" w:space="0"/>
              <w:bottom w:val="single" w:color="auto" w:sz="4" w:space="0"/>
              <w:right w:val="single" w:color="auto" w:sz="4" w:space="0"/>
            </w:tcBorders>
            <w:vAlign w:val="center"/>
          </w:tcPr>
          <w:p w14:paraId="0F733CD7">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4F8A2B2B">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C3209B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投后服务</w:t>
            </w:r>
          </w:p>
        </w:tc>
        <w:tc>
          <w:tcPr>
            <w:tcW w:w="6224" w:type="dxa"/>
            <w:tcBorders>
              <w:top w:val="nil"/>
              <w:left w:val="nil"/>
              <w:bottom w:val="single" w:color="auto" w:sz="4" w:space="0"/>
              <w:right w:val="single" w:color="auto" w:sz="4" w:space="0"/>
            </w:tcBorders>
            <w:shd w:val="clear" w:color="auto" w:fill="auto"/>
            <w:noWrap/>
            <w:vAlign w:val="center"/>
          </w:tcPr>
          <w:p w14:paraId="1FCD5BA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服务人员处理过程中，实时记录服务内容、处理结果、耗时等信息，形成服务台账；支持服务过程拍照、上传文件等功能，丰富服务记录。</w:t>
            </w:r>
          </w:p>
        </w:tc>
      </w:tr>
      <w:tr w14:paraId="0DD0A8C8">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0784E7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29</w:t>
            </w:r>
          </w:p>
        </w:tc>
        <w:tc>
          <w:tcPr>
            <w:tcW w:w="535" w:type="dxa"/>
            <w:vMerge w:val="continue"/>
            <w:tcBorders>
              <w:top w:val="nil"/>
              <w:left w:val="single" w:color="auto" w:sz="4" w:space="0"/>
              <w:bottom w:val="single" w:color="auto" w:sz="4" w:space="0"/>
              <w:right w:val="single" w:color="auto" w:sz="4" w:space="0"/>
            </w:tcBorders>
            <w:vAlign w:val="center"/>
          </w:tcPr>
          <w:p w14:paraId="12376D02">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37F27ED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项目采购管理</w:t>
            </w:r>
          </w:p>
        </w:tc>
        <w:tc>
          <w:tcPr>
            <w:tcW w:w="535" w:type="dxa"/>
            <w:tcBorders>
              <w:top w:val="nil"/>
              <w:left w:val="nil"/>
              <w:bottom w:val="single" w:color="auto" w:sz="4" w:space="0"/>
              <w:right w:val="single" w:color="auto" w:sz="4" w:space="0"/>
            </w:tcBorders>
            <w:shd w:val="clear" w:color="auto" w:fill="auto"/>
            <w:vAlign w:val="center"/>
          </w:tcPr>
          <w:p w14:paraId="4F2DFFB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立项申请与审批</w:t>
            </w:r>
          </w:p>
        </w:tc>
        <w:tc>
          <w:tcPr>
            <w:tcW w:w="6224" w:type="dxa"/>
            <w:tcBorders>
              <w:top w:val="nil"/>
              <w:left w:val="nil"/>
              <w:bottom w:val="single" w:color="auto" w:sz="4" w:space="0"/>
              <w:right w:val="single" w:color="auto" w:sz="4" w:space="0"/>
            </w:tcBorders>
            <w:shd w:val="clear" w:color="auto" w:fill="auto"/>
            <w:noWrap/>
            <w:vAlign w:val="center"/>
          </w:tcPr>
          <w:p w14:paraId="745F7D8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经办人可通过此功能进行项目立项审批流程发起，录入项目需求信息、计划采购内容、采购预算、采购方式、采购方案等内容提交后进入审批环节。审批过程中，申请人可以看到流程执行节点状态，若被退回，可以重新补充材料后提交。完成审批后项目完成立项，可进入采购申请环节。</w:t>
            </w:r>
          </w:p>
        </w:tc>
      </w:tr>
      <w:tr w14:paraId="154B5F52">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A90B6D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30</w:t>
            </w:r>
          </w:p>
        </w:tc>
        <w:tc>
          <w:tcPr>
            <w:tcW w:w="535" w:type="dxa"/>
            <w:vMerge w:val="continue"/>
            <w:tcBorders>
              <w:top w:val="nil"/>
              <w:left w:val="single" w:color="auto" w:sz="4" w:space="0"/>
              <w:bottom w:val="single" w:color="auto" w:sz="4" w:space="0"/>
              <w:right w:val="single" w:color="auto" w:sz="4" w:space="0"/>
            </w:tcBorders>
            <w:vAlign w:val="center"/>
          </w:tcPr>
          <w:p w14:paraId="7EB5A8D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6387723B">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FEB268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采购申请</w:t>
            </w:r>
          </w:p>
        </w:tc>
        <w:tc>
          <w:tcPr>
            <w:tcW w:w="6224" w:type="dxa"/>
            <w:tcBorders>
              <w:top w:val="nil"/>
              <w:left w:val="nil"/>
              <w:bottom w:val="single" w:color="auto" w:sz="4" w:space="0"/>
              <w:right w:val="single" w:color="auto" w:sz="4" w:space="0"/>
            </w:tcBorders>
            <w:shd w:val="clear" w:color="auto" w:fill="auto"/>
            <w:noWrap/>
            <w:vAlign w:val="center"/>
          </w:tcPr>
          <w:p w14:paraId="774CF83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对于需要通过对外采购的项目，项目管理人员可在系统发起采购申请。系统根据金额、标的类型采购方式，申请单支持人工调整并记录理由。</w:t>
            </w:r>
          </w:p>
        </w:tc>
      </w:tr>
      <w:tr w14:paraId="75C6C3F4">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64AC44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31</w:t>
            </w:r>
          </w:p>
        </w:tc>
        <w:tc>
          <w:tcPr>
            <w:tcW w:w="535" w:type="dxa"/>
            <w:vMerge w:val="continue"/>
            <w:tcBorders>
              <w:top w:val="nil"/>
              <w:left w:val="single" w:color="auto" w:sz="4" w:space="0"/>
              <w:bottom w:val="single" w:color="auto" w:sz="4" w:space="0"/>
              <w:right w:val="single" w:color="auto" w:sz="4" w:space="0"/>
            </w:tcBorders>
            <w:vAlign w:val="center"/>
          </w:tcPr>
          <w:p w14:paraId="34EB331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14ACC3E6">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575DA7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招投标材料管理</w:t>
            </w:r>
          </w:p>
        </w:tc>
        <w:tc>
          <w:tcPr>
            <w:tcW w:w="6224" w:type="dxa"/>
            <w:tcBorders>
              <w:top w:val="nil"/>
              <w:left w:val="nil"/>
              <w:bottom w:val="single" w:color="auto" w:sz="4" w:space="0"/>
              <w:right w:val="single" w:color="auto" w:sz="4" w:space="0"/>
            </w:tcBorders>
            <w:shd w:val="clear" w:color="auto" w:fill="auto"/>
            <w:noWrap/>
            <w:vAlign w:val="center"/>
          </w:tcPr>
          <w:p w14:paraId="4292866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对采购项目进行招投标过程材料管理，对招采过程中的采购文件、投标文件、代理机构信息、招采日期、中标信息等内容进行分阶段录入、上传、结构化识别等过程材料管理。</w:t>
            </w:r>
          </w:p>
        </w:tc>
      </w:tr>
      <w:tr w14:paraId="4E882885">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A602B1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32</w:t>
            </w:r>
          </w:p>
        </w:tc>
        <w:tc>
          <w:tcPr>
            <w:tcW w:w="535" w:type="dxa"/>
            <w:vMerge w:val="continue"/>
            <w:tcBorders>
              <w:top w:val="nil"/>
              <w:left w:val="single" w:color="auto" w:sz="4" w:space="0"/>
              <w:bottom w:val="single" w:color="auto" w:sz="4" w:space="0"/>
              <w:right w:val="single" w:color="auto" w:sz="4" w:space="0"/>
            </w:tcBorders>
            <w:vAlign w:val="center"/>
          </w:tcPr>
          <w:p w14:paraId="3C80991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00BB47E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1DFA4F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履约跟进</w:t>
            </w:r>
          </w:p>
        </w:tc>
        <w:tc>
          <w:tcPr>
            <w:tcW w:w="6224" w:type="dxa"/>
            <w:tcBorders>
              <w:top w:val="nil"/>
              <w:left w:val="nil"/>
              <w:bottom w:val="single" w:color="auto" w:sz="4" w:space="0"/>
              <w:right w:val="single" w:color="auto" w:sz="4" w:space="0"/>
            </w:tcBorders>
            <w:shd w:val="clear" w:color="auto" w:fill="auto"/>
            <w:noWrap/>
            <w:vAlign w:val="center"/>
          </w:tcPr>
          <w:p w14:paraId="7743EA1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目中标后，系统触发合同流程，可对接合同管理系统中业务流程。完成签约后，系统按合同约定的交付节点（如设备分批次交付）设置里程碑，项目管理人员定期更新项目进度和相关资料。</w:t>
            </w:r>
          </w:p>
        </w:tc>
      </w:tr>
      <w:tr w14:paraId="59614A68">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2C27BD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33</w:t>
            </w:r>
          </w:p>
        </w:tc>
        <w:tc>
          <w:tcPr>
            <w:tcW w:w="535" w:type="dxa"/>
            <w:vMerge w:val="continue"/>
            <w:tcBorders>
              <w:top w:val="nil"/>
              <w:left w:val="single" w:color="auto" w:sz="4" w:space="0"/>
              <w:bottom w:val="single" w:color="auto" w:sz="4" w:space="0"/>
              <w:right w:val="single" w:color="auto" w:sz="4" w:space="0"/>
            </w:tcBorders>
            <w:vAlign w:val="center"/>
          </w:tcPr>
          <w:p w14:paraId="6F9E2800">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40BB300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8EB11F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验收付款</w:t>
            </w:r>
          </w:p>
        </w:tc>
        <w:tc>
          <w:tcPr>
            <w:tcW w:w="6224" w:type="dxa"/>
            <w:tcBorders>
              <w:top w:val="nil"/>
              <w:left w:val="nil"/>
              <w:bottom w:val="single" w:color="auto" w:sz="4" w:space="0"/>
              <w:right w:val="single" w:color="auto" w:sz="4" w:space="0"/>
            </w:tcBorders>
            <w:shd w:val="clear" w:color="auto" w:fill="auto"/>
            <w:noWrap/>
            <w:vAlign w:val="center"/>
          </w:tcPr>
          <w:p w14:paraId="4E14FA6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项目达到验收标准后，项目管理人员提交项目验收材料，完成验收流程后，可按合同和项目节点触发付款提醒。</w:t>
            </w:r>
          </w:p>
        </w:tc>
      </w:tr>
      <w:tr w14:paraId="5989EDCB">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0C64B4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34</w:t>
            </w:r>
          </w:p>
        </w:tc>
        <w:tc>
          <w:tcPr>
            <w:tcW w:w="535" w:type="dxa"/>
            <w:vMerge w:val="continue"/>
            <w:tcBorders>
              <w:top w:val="nil"/>
              <w:left w:val="single" w:color="auto" w:sz="4" w:space="0"/>
              <w:bottom w:val="single" w:color="auto" w:sz="4" w:space="0"/>
              <w:right w:val="single" w:color="auto" w:sz="4" w:space="0"/>
            </w:tcBorders>
            <w:vAlign w:val="center"/>
          </w:tcPr>
          <w:p w14:paraId="71872E4D">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279AB46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服务项目管理</w:t>
            </w:r>
          </w:p>
        </w:tc>
        <w:tc>
          <w:tcPr>
            <w:tcW w:w="535" w:type="dxa"/>
            <w:tcBorders>
              <w:top w:val="nil"/>
              <w:left w:val="nil"/>
              <w:bottom w:val="single" w:color="auto" w:sz="4" w:space="0"/>
              <w:right w:val="single" w:color="auto" w:sz="4" w:space="0"/>
            </w:tcBorders>
            <w:shd w:val="clear" w:color="auto" w:fill="auto"/>
            <w:vAlign w:val="center"/>
          </w:tcPr>
          <w:p w14:paraId="38EC3B6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立项申请与审批</w:t>
            </w:r>
          </w:p>
        </w:tc>
        <w:tc>
          <w:tcPr>
            <w:tcW w:w="6224" w:type="dxa"/>
            <w:tcBorders>
              <w:top w:val="nil"/>
              <w:left w:val="nil"/>
              <w:bottom w:val="single" w:color="auto" w:sz="4" w:space="0"/>
              <w:right w:val="single" w:color="auto" w:sz="4" w:space="0"/>
            </w:tcBorders>
            <w:shd w:val="clear" w:color="auto" w:fill="auto"/>
            <w:noWrap/>
            <w:vAlign w:val="center"/>
          </w:tcPr>
          <w:p w14:paraId="3A336F1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对集团的载体经营、信息技术服务、中试等项目，经办人可以在系统通过项目基础信息录入后提起立项申请。提交申请单后，经办人可以看到审批节点状态，若被退回，可以重新补充材料后提交。</w:t>
            </w:r>
          </w:p>
        </w:tc>
      </w:tr>
      <w:tr w14:paraId="68583DD3">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59EF81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35</w:t>
            </w:r>
          </w:p>
        </w:tc>
        <w:tc>
          <w:tcPr>
            <w:tcW w:w="535" w:type="dxa"/>
            <w:vMerge w:val="continue"/>
            <w:tcBorders>
              <w:top w:val="nil"/>
              <w:left w:val="single" w:color="auto" w:sz="4" w:space="0"/>
              <w:bottom w:val="single" w:color="auto" w:sz="4" w:space="0"/>
              <w:right w:val="single" w:color="auto" w:sz="4" w:space="0"/>
            </w:tcBorders>
            <w:vAlign w:val="center"/>
          </w:tcPr>
          <w:p w14:paraId="44624BAD">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36BA2E0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5FBC53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项目任务分工</w:t>
            </w:r>
          </w:p>
        </w:tc>
        <w:tc>
          <w:tcPr>
            <w:tcW w:w="6224" w:type="dxa"/>
            <w:tcBorders>
              <w:top w:val="nil"/>
              <w:left w:val="nil"/>
              <w:bottom w:val="single" w:color="auto" w:sz="4" w:space="0"/>
              <w:right w:val="single" w:color="auto" w:sz="4" w:space="0"/>
            </w:tcBorders>
            <w:shd w:val="clear" w:color="auto" w:fill="auto"/>
            <w:noWrap/>
            <w:vAlign w:val="center"/>
          </w:tcPr>
          <w:p w14:paraId="531F6FB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通过立项审批后，管理人员可依据立项方案，拆解任务并分配至对应团队或人员，明确交付物、验收标准与时间节点，可通过拖拽调整任务优先级。</w:t>
            </w:r>
          </w:p>
        </w:tc>
      </w:tr>
      <w:tr w14:paraId="69681E87">
        <w:tblPrEx>
          <w:tblCellMar>
            <w:top w:w="0" w:type="dxa"/>
            <w:left w:w="108" w:type="dxa"/>
            <w:bottom w:w="0" w:type="dxa"/>
            <w:right w:w="108" w:type="dxa"/>
          </w:tblCellMar>
        </w:tblPrEx>
        <w:trPr>
          <w:trHeight w:val="156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7ABAB7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36</w:t>
            </w:r>
          </w:p>
        </w:tc>
        <w:tc>
          <w:tcPr>
            <w:tcW w:w="535" w:type="dxa"/>
            <w:vMerge w:val="continue"/>
            <w:tcBorders>
              <w:top w:val="nil"/>
              <w:left w:val="single" w:color="auto" w:sz="4" w:space="0"/>
              <w:bottom w:val="single" w:color="auto" w:sz="4" w:space="0"/>
              <w:right w:val="single" w:color="auto" w:sz="4" w:space="0"/>
            </w:tcBorders>
            <w:vAlign w:val="center"/>
          </w:tcPr>
          <w:p w14:paraId="5C9771D7">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1674E285">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3C81D2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进度管控</w:t>
            </w:r>
          </w:p>
        </w:tc>
        <w:tc>
          <w:tcPr>
            <w:tcW w:w="6224" w:type="dxa"/>
            <w:tcBorders>
              <w:top w:val="nil"/>
              <w:left w:val="nil"/>
              <w:bottom w:val="single" w:color="auto" w:sz="4" w:space="0"/>
              <w:right w:val="single" w:color="auto" w:sz="4" w:space="0"/>
            </w:tcBorders>
            <w:shd w:val="clear" w:color="auto" w:fill="auto"/>
            <w:noWrap/>
            <w:vAlign w:val="center"/>
          </w:tcPr>
          <w:p w14:paraId="678B44B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甘特图、看板等可视化工具实时监控任务进展，自动预警延期风险，支持手动更新进度与上传交付物。对于项目出现变更的情况，记录变更历史，评估变更影响，发起变更审批流程，更新项目基线与任务安排。</w:t>
            </w:r>
          </w:p>
        </w:tc>
      </w:tr>
      <w:tr w14:paraId="36183E68">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C6EF73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37</w:t>
            </w:r>
          </w:p>
        </w:tc>
        <w:tc>
          <w:tcPr>
            <w:tcW w:w="535" w:type="dxa"/>
            <w:vMerge w:val="continue"/>
            <w:tcBorders>
              <w:top w:val="nil"/>
              <w:left w:val="single" w:color="auto" w:sz="4" w:space="0"/>
              <w:bottom w:val="single" w:color="auto" w:sz="4" w:space="0"/>
              <w:right w:val="single" w:color="auto" w:sz="4" w:space="0"/>
            </w:tcBorders>
            <w:vAlign w:val="center"/>
          </w:tcPr>
          <w:p w14:paraId="3C8CECC1">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2A51A029">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4EBCFDE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服务交付</w:t>
            </w:r>
          </w:p>
        </w:tc>
        <w:tc>
          <w:tcPr>
            <w:tcW w:w="6224" w:type="dxa"/>
            <w:tcBorders>
              <w:top w:val="nil"/>
              <w:left w:val="nil"/>
              <w:bottom w:val="single" w:color="auto" w:sz="4" w:space="0"/>
              <w:right w:val="single" w:color="auto" w:sz="4" w:space="0"/>
            </w:tcBorders>
            <w:shd w:val="clear" w:color="auto" w:fill="auto"/>
            <w:noWrap/>
            <w:vAlign w:val="center"/>
          </w:tcPr>
          <w:p w14:paraId="122DA34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服务类项目完成相关成果交付后，系统可收集相关过程材料，项目执行团队可以补充相关材料，形成服务交付清单和材料。生成内外部交付确认单，在交付确认单完成盖章后，系统可以触发财务结算提醒。</w:t>
            </w:r>
          </w:p>
        </w:tc>
      </w:tr>
      <w:tr w14:paraId="4C987875">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AAE931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38</w:t>
            </w:r>
          </w:p>
        </w:tc>
        <w:tc>
          <w:tcPr>
            <w:tcW w:w="1605" w:type="dxa"/>
            <w:gridSpan w:val="3"/>
            <w:tcBorders>
              <w:top w:val="single" w:color="auto" w:sz="4" w:space="0"/>
              <w:left w:val="nil"/>
              <w:bottom w:val="single" w:color="auto" w:sz="4" w:space="0"/>
              <w:right w:val="single" w:color="000000" w:sz="4" w:space="0"/>
            </w:tcBorders>
            <w:shd w:val="clear" w:color="auto" w:fill="auto"/>
            <w:vAlign w:val="center"/>
          </w:tcPr>
          <w:p w14:paraId="7CDC080C">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6224" w:type="dxa"/>
            <w:tcBorders>
              <w:top w:val="nil"/>
              <w:left w:val="nil"/>
              <w:bottom w:val="single" w:color="auto" w:sz="4" w:space="0"/>
              <w:right w:val="single" w:color="auto" w:sz="4" w:space="0"/>
            </w:tcBorders>
            <w:shd w:val="clear" w:color="auto" w:fill="auto"/>
            <w:noWrap/>
            <w:vAlign w:val="center"/>
          </w:tcPr>
          <w:p w14:paraId="28AE021A">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51D224C7">
        <w:tblPrEx>
          <w:tblCellMar>
            <w:top w:w="0" w:type="dxa"/>
            <w:left w:w="108" w:type="dxa"/>
            <w:bottom w:w="0" w:type="dxa"/>
            <w:right w:w="108" w:type="dxa"/>
          </w:tblCellMar>
        </w:tblPrEx>
        <w:trPr>
          <w:trHeight w:val="80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82EEA3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39</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08E3FD9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商机管理系统</w:t>
            </w:r>
          </w:p>
        </w:tc>
        <w:tc>
          <w:tcPr>
            <w:tcW w:w="535" w:type="dxa"/>
            <w:tcBorders>
              <w:top w:val="nil"/>
              <w:left w:val="nil"/>
              <w:bottom w:val="nil"/>
              <w:right w:val="single" w:color="auto" w:sz="4" w:space="0"/>
            </w:tcBorders>
            <w:shd w:val="clear" w:color="auto" w:fill="auto"/>
            <w:vAlign w:val="center"/>
          </w:tcPr>
          <w:p w14:paraId="4974FE9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基础信息采集</w:t>
            </w:r>
          </w:p>
        </w:tc>
        <w:tc>
          <w:tcPr>
            <w:tcW w:w="535" w:type="dxa"/>
            <w:tcBorders>
              <w:top w:val="nil"/>
              <w:left w:val="nil"/>
              <w:bottom w:val="single" w:color="auto" w:sz="4" w:space="0"/>
              <w:right w:val="single" w:color="auto" w:sz="4" w:space="0"/>
            </w:tcBorders>
            <w:shd w:val="clear" w:color="auto" w:fill="auto"/>
            <w:vAlign w:val="center"/>
          </w:tcPr>
          <w:p w14:paraId="2DB68FE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信息关联采集</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754F9D5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系统自动对接合同管理系统与项目管理系统，通过合同标的、项目类型、合作方等关键信息，关联商机标签形成商机信息。当合同中出现新业务领域相关条款，或项目完成后客户提出新需求时，系统自动提取关联信息，如客户名称、业务需求描述、预算范围等，形成商机基础信息框架，减少人工录入工作量，提高信息采集效率与准确性，当自动生成的可能商机信息不全时，人为判断后可以进行信息补全操作。</w:t>
            </w:r>
          </w:p>
        </w:tc>
      </w:tr>
      <w:tr w14:paraId="2D40EA8D">
        <w:tblPrEx>
          <w:tblCellMar>
            <w:top w:w="0" w:type="dxa"/>
            <w:left w:w="108" w:type="dxa"/>
            <w:bottom w:w="0" w:type="dxa"/>
            <w:right w:w="108" w:type="dxa"/>
          </w:tblCellMar>
        </w:tblPrEx>
        <w:trPr>
          <w:trHeight w:val="249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8F81EA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40</w:t>
            </w:r>
          </w:p>
        </w:tc>
        <w:tc>
          <w:tcPr>
            <w:tcW w:w="535" w:type="dxa"/>
            <w:vMerge w:val="continue"/>
            <w:tcBorders>
              <w:top w:val="nil"/>
              <w:left w:val="single" w:color="auto" w:sz="4" w:space="0"/>
              <w:bottom w:val="single" w:color="auto" w:sz="4" w:space="0"/>
              <w:right w:val="single" w:color="auto" w:sz="4" w:space="0"/>
            </w:tcBorders>
            <w:vAlign w:val="center"/>
          </w:tcPr>
          <w:p w14:paraId="1F592485">
            <w:pPr>
              <w:widowControl/>
              <w:jc w:val="left"/>
              <w:rPr>
                <w:rFonts w:ascii="宋体" w:hAnsi="宋体" w:eastAsia="宋体" w:cs="宋体"/>
                <w:color w:val="000000"/>
                <w:kern w:val="0"/>
                <w:szCs w:val="21"/>
                <w14:ligatures w14:val="none"/>
              </w:rPr>
            </w:pPr>
          </w:p>
        </w:tc>
        <w:tc>
          <w:tcPr>
            <w:tcW w:w="535"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648936E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商机分类标识</w:t>
            </w:r>
          </w:p>
        </w:tc>
        <w:tc>
          <w:tcPr>
            <w:tcW w:w="535" w:type="dxa"/>
            <w:tcBorders>
              <w:top w:val="nil"/>
              <w:left w:val="nil"/>
              <w:bottom w:val="single" w:color="auto" w:sz="4" w:space="0"/>
              <w:right w:val="single" w:color="auto" w:sz="4" w:space="0"/>
            </w:tcBorders>
            <w:shd w:val="clear" w:color="auto" w:fill="auto"/>
            <w:vAlign w:val="center"/>
          </w:tcPr>
          <w:p w14:paraId="0F5CF6C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标准化分类体系</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43058BD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立涵盖行业领域、商机来源、商机阶段、商机价值、商机需</w:t>
            </w:r>
            <w:r>
              <w:rPr>
                <w:rFonts w:hint="eastAsia" w:ascii="宋体" w:hAnsi="宋体" w:eastAsia="宋体" w:cs="宋体"/>
                <w:color w:val="000000"/>
                <w:kern w:val="0"/>
                <w:szCs w:val="21"/>
                <w:lang w:eastAsia="zh-CN"/>
                <w14:ligatures w14:val="none"/>
              </w:rPr>
              <w:t>求标</w:t>
            </w:r>
            <w:r>
              <w:rPr>
                <w:rFonts w:hint="eastAsia" w:ascii="宋体" w:hAnsi="宋体" w:eastAsia="宋体" w:cs="宋体"/>
                <w:color w:val="000000"/>
                <w:kern w:val="0"/>
                <w:szCs w:val="21"/>
                <w14:ligatures w14:val="none"/>
              </w:rPr>
              <w:t>准化商机分类体系。用户可根据实际业务需求，灵活选择分类标签，快速对商机进行精准标识。</w:t>
            </w:r>
            <w:r>
              <w:rPr>
                <w:rFonts w:hint="eastAsia" w:ascii="MS Gothic" w:hAnsi="MS Gothic" w:eastAsia="MS Gothic" w:cs="MS Gothic"/>
                <w:color w:val="000000"/>
                <w:kern w:val="0"/>
                <w:szCs w:val="21"/>
                <w14:ligatures w14:val="none"/>
              </w:rPr>
              <w:t>​</w:t>
            </w:r>
          </w:p>
        </w:tc>
      </w:tr>
      <w:tr w14:paraId="2B86B3A5">
        <w:tblPrEx>
          <w:tblCellMar>
            <w:top w:w="0" w:type="dxa"/>
            <w:left w:w="108" w:type="dxa"/>
            <w:bottom w:w="0" w:type="dxa"/>
            <w:right w:w="108" w:type="dxa"/>
          </w:tblCellMar>
        </w:tblPrEx>
        <w:trPr>
          <w:trHeight w:val="249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339E1F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41</w:t>
            </w:r>
          </w:p>
        </w:tc>
        <w:tc>
          <w:tcPr>
            <w:tcW w:w="535" w:type="dxa"/>
            <w:vMerge w:val="continue"/>
            <w:tcBorders>
              <w:top w:val="nil"/>
              <w:left w:val="single" w:color="auto" w:sz="4" w:space="0"/>
              <w:bottom w:val="single" w:color="auto" w:sz="4" w:space="0"/>
              <w:right w:val="single" w:color="auto" w:sz="4" w:space="0"/>
            </w:tcBorders>
            <w:vAlign w:val="center"/>
          </w:tcPr>
          <w:p w14:paraId="5DB647C9">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145C1876">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A01163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自定义标签管理</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4C133B7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持用户自定义商机标签，满足个性化业务需求。例如，针对特定项目添加 “重点跟进”“战略客户” 等标签，方便快速筛选与管理。用户可对自定义标签进行创建、编辑、删除操作，并设置标签关联规则，如带有“重点跟进” 标签的商机自动提高推送优先级，增强商机管理的灵活性。</w:t>
            </w:r>
          </w:p>
        </w:tc>
      </w:tr>
      <w:tr w14:paraId="7074846D">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2EB907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42</w:t>
            </w:r>
          </w:p>
        </w:tc>
        <w:tc>
          <w:tcPr>
            <w:tcW w:w="535" w:type="dxa"/>
            <w:vMerge w:val="continue"/>
            <w:tcBorders>
              <w:top w:val="nil"/>
              <w:left w:val="single" w:color="auto" w:sz="4" w:space="0"/>
              <w:bottom w:val="single" w:color="auto" w:sz="4" w:space="0"/>
              <w:right w:val="single" w:color="auto" w:sz="4" w:space="0"/>
            </w:tcBorders>
            <w:vAlign w:val="center"/>
          </w:tcPr>
          <w:p w14:paraId="20F51789">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nil"/>
              <w:right w:val="single" w:color="auto" w:sz="4" w:space="0"/>
            </w:tcBorders>
            <w:shd w:val="clear" w:color="auto" w:fill="auto"/>
            <w:vAlign w:val="center"/>
          </w:tcPr>
          <w:p w14:paraId="725CA72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商机动态更新</w:t>
            </w:r>
          </w:p>
        </w:tc>
        <w:tc>
          <w:tcPr>
            <w:tcW w:w="535" w:type="dxa"/>
            <w:tcBorders>
              <w:top w:val="nil"/>
              <w:left w:val="nil"/>
              <w:bottom w:val="single" w:color="auto" w:sz="4" w:space="0"/>
              <w:right w:val="single" w:color="auto" w:sz="4" w:space="0"/>
            </w:tcBorders>
            <w:shd w:val="clear" w:color="auto" w:fill="auto"/>
            <w:vAlign w:val="center"/>
          </w:tcPr>
          <w:p w14:paraId="0E618BD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实时动态监测</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07D9956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商机相关的外部数据源及内部业务系统保持实时数据同步。当关联数据发生变化时，系统自动捕捉更新信息，如客户调整需求预算、项目延期影响商机交付时间等，及时触发商机信息更新流程。</w:t>
            </w:r>
            <w:r>
              <w:rPr>
                <w:rFonts w:hint="eastAsia" w:ascii="MS Gothic" w:hAnsi="MS Gothic" w:eastAsia="MS Gothic" w:cs="MS Gothic"/>
                <w:color w:val="000000"/>
                <w:kern w:val="0"/>
                <w:szCs w:val="21"/>
                <w14:ligatures w14:val="none"/>
              </w:rPr>
              <w:t>​</w:t>
            </w:r>
          </w:p>
        </w:tc>
      </w:tr>
      <w:tr w14:paraId="365828C9">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162489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43</w:t>
            </w:r>
          </w:p>
        </w:tc>
        <w:tc>
          <w:tcPr>
            <w:tcW w:w="535" w:type="dxa"/>
            <w:vMerge w:val="continue"/>
            <w:tcBorders>
              <w:top w:val="nil"/>
              <w:left w:val="single" w:color="auto" w:sz="4" w:space="0"/>
              <w:bottom w:val="single" w:color="auto" w:sz="4" w:space="0"/>
              <w:right w:val="single" w:color="auto" w:sz="4" w:space="0"/>
            </w:tcBorders>
            <w:vAlign w:val="center"/>
          </w:tcPr>
          <w:p w14:paraId="0F4F3C0E">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3AE1D2BF">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A9E679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手动便捷更新</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1BF3325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供便捷的手动更新界面，业务人员可随时修改商机信息，包括需求细节、合作意向变化、竞争对手动态等。系统记录每次更新的时间、操作人员及修改内容，形成完整的商机更新日志，方便追溯商机演变过程，为后续决策提供参考。</w:t>
            </w:r>
            <w:r>
              <w:rPr>
                <w:rFonts w:hint="eastAsia" w:ascii="MS Gothic" w:hAnsi="MS Gothic" w:eastAsia="MS Gothic" w:cs="MS Gothic"/>
                <w:color w:val="000000"/>
                <w:kern w:val="0"/>
                <w:szCs w:val="21"/>
                <w14:ligatures w14:val="none"/>
              </w:rPr>
              <w:t>​</w:t>
            </w:r>
          </w:p>
        </w:tc>
      </w:tr>
      <w:tr w14:paraId="23202BA3">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6DB1B0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44</w:t>
            </w:r>
          </w:p>
        </w:tc>
        <w:tc>
          <w:tcPr>
            <w:tcW w:w="535" w:type="dxa"/>
            <w:vMerge w:val="continue"/>
            <w:tcBorders>
              <w:top w:val="nil"/>
              <w:left w:val="single" w:color="auto" w:sz="4" w:space="0"/>
              <w:bottom w:val="single" w:color="auto" w:sz="4" w:space="0"/>
              <w:right w:val="single" w:color="auto" w:sz="4" w:space="0"/>
            </w:tcBorders>
            <w:vAlign w:val="center"/>
          </w:tcPr>
          <w:p w14:paraId="3432BF71">
            <w:pPr>
              <w:widowControl/>
              <w:jc w:val="left"/>
              <w:rPr>
                <w:rFonts w:ascii="宋体" w:hAnsi="宋体" w:eastAsia="宋体" w:cs="宋体"/>
                <w:color w:val="000000"/>
                <w:kern w:val="0"/>
                <w:szCs w:val="21"/>
                <w14:ligatures w14:val="none"/>
              </w:rPr>
            </w:pPr>
          </w:p>
        </w:tc>
        <w:tc>
          <w:tcPr>
            <w:tcW w:w="535" w:type="dxa"/>
            <w:tcBorders>
              <w:top w:val="single" w:color="auto" w:sz="4" w:space="0"/>
              <w:left w:val="nil"/>
              <w:bottom w:val="nil"/>
              <w:right w:val="single" w:color="auto" w:sz="4" w:space="0"/>
            </w:tcBorders>
            <w:shd w:val="clear" w:color="auto" w:fill="auto"/>
            <w:vAlign w:val="center"/>
          </w:tcPr>
          <w:p w14:paraId="1945FAA1">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商机协同推送</w:t>
            </w:r>
          </w:p>
        </w:tc>
        <w:tc>
          <w:tcPr>
            <w:tcW w:w="535" w:type="dxa"/>
            <w:tcBorders>
              <w:top w:val="nil"/>
              <w:left w:val="nil"/>
              <w:bottom w:val="single" w:color="auto" w:sz="4" w:space="0"/>
              <w:right w:val="single" w:color="auto" w:sz="4" w:space="0"/>
            </w:tcBorders>
            <w:shd w:val="clear" w:color="auto" w:fill="auto"/>
            <w:vAlign w:val="center"/>
          </w:tcPr>
          <w:p w14:paraId="5821066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分级推送策略</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60C8C48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置商机推送优先级，根据商机价值等级、紧急程度、子公司匹配度等因素，将商机分为高、中、低优先级进行推送。高优先级商机通过短信、APP弹窗等多渠道即时通知子公司负责人；中低优先级商机</w:t>
            </w:r>
            <w:r>
              <w:rPr>
                <w:rFonts w:hint="eastAsia" w:ascii="宋体" w:hAnsi="宋体" w:eastAsia="宋体" w:cs="宋体"/>
                <w:color w:val="000000"/>
                <w:kern w:val="0"/>
                <w:szCs w:val="21"/>
                <w:lang w:eastAsia="zh-CN"/>
                <w14:ligatures w14:val="none"/>
              </w:rPr>
              <w:t>通过</w:t>
            </w:r>
            <w:r>
              <w:rPr>
                <w:rFonts w:hint="eastAsia" w:ascii="宋体" w:hAnsi="宋体" w:eastAsia="宋体" w:cs="宋体"/>
                <w:color w:val="000000"/>
                <w:kern w:val="0"/>
                <w:szCs w:val="21"/>
                <w14:ligatures w14:val="none"/>
              </w:rPr>
              <w:t>平台待办功能推送，确保子公司及时获取商机信息。</w:t>
            </w:r>
            <w:r>
              <w:rPr>
                <w:rFonts w:hint="eastAsia" w:ascii="MS Gothic" w:hAnsi="MS Gothic" w:eastAsia="MS Gothic" w:cs="MS Gothic"/>
                <w:color w:val="000000"/>
                <w:kern w:val="0"/>
                <w:szCs w:val="21"/>
                <w14:ligatures w14:val="none"/>
              </w:rPr>
              <w:t>​</w:t>
            </w:r>
          </w:p>
        </w:tc>
      </w:tr>
      <w:tr w14:paraId="609D5E4B">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B78094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45</w:t>
            </w:r>
          </w:p>
        </w:tc>
        <w:tc>
          <w:tcPr>
            <w:tcW w:w="535" w:type="dxa"/>
            <w:vMerge w:val="continue"/>
            <w:tcBorders>
              <w:top w:val="nil"/>
              <w:left w:val="single" w:color="auto" w:sz="4" w:space="0"/>
              <w:bottom w:val="single" w:color="auto" w:sz="4" w:space="0"/>
              <w:right w:val="single" w:color="auto" w:sz="4" w:space="0"/>
            </w:tcBorders>
            <w:vAlign w:val="center"/>
          </w:tcPr>
          <w:p w14:paraId="5056EBB9">
            <w:pPr>
              <w:widowControl/>
              <w:jc w:val="left"/>
              <w:rPr>
                <w:rFonts w:ascii="宋体" w:hAnsi="宋体" w:eastAsia="宋体" w:cs="宋体"/>
                <w:color w:val="000000"/>
                <w:kern w:val="0"/>
                <w:szCs w:val="21"/>
                <w14:ligatures w14:val="none"/>
              </w:rPr>
            </w:pPr>
          </w:p>
        </w:tc>
        <w:tc>
          <w:tcPr>
            <w:tcW w:w="535" w:type="dxa"/>
            <w:tcBorders>
              <w:top w:val="single" w:color="auto" w:sz="4" w:space="0"/>
              <w:left w:val="nil"/>
              <w:bottom w:val="single" w:color="auto" w:sz="4" w:space="0"/>
              <w:right w:val="single" w:color="auto" w:sz="4" w:space="0"/>
            </w:tcBorders>
            <w:shd w:val="clear" w:color="auto" w:fill="auto"/>
            <w:vAlign w:val="center"/>
          </w:tcPr>
          <w:p w14:paraId="3373DA0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商机接洽管理</w:t>
            </w:r>
          </w:p>
        </w:tc>
        <w:tc>
          <w:tcPr>
            <w:tcW w:w="535" w:type="dxa"/>
            <w:tcBorders>
              <w:top w:val="nil"/>
              <w:left w:val="nil"/>
              <w:bottom w:val="single" w:color="auto" w:sz="4" w:space="0"/>
              <w:right w:val="single" w:color="auto" w:sz="4" w:space="0"/>
            </w:tcBorders>
            <w:shd w:val="clear" w:color="auto" w:fill="auto"/>
            <w:vAlign w:val="center"/>
          </w:tcPr>
          <w:p w14:paraId="4DF2D59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商机认领</w:t>
            </w:r>
          </w:p>
        </w:tc>
        <w:tc>
          <w:tcPr>
            <w:tcW w:w="6224" w:type="dxa"/>
            <w:tcBorders>
              <w:top w:val="nil"/>
              <w:left w:val="nil"/>
              <w:bottom w:val="single" w:color="auto" w:sz="4" w:space="0"/>
              <w:right w:val="single" w:color="auto" w:sz="4" w:space="0"/>
            </w:tcBorders>
            <w:shd w:val="clear" w:color="auto" w:fill="auto"/>
            <w:noWrap/>
            <w:vAlign w:val="center"/>
          </w:tcPr>
          <w:p w14:paraId="134FE6B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消息推送到相关子公司后，平台记录相关推送信息并实时跟进商机推送状态。子公司工作人员可以在待办列表中对商机进行认领。商机认领后，系统反馈认领信息。若长时间无人认领，系统可以发起二次提醒。</w:t>
            </w:r>
          </w:p>
        </w:tc>
      </w:tr>
      <w:tr w14:paraId="3EBBC357">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64F784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46</w:t>
            </w:r>
          </w:p>
        </w:tc>
        <w:tc>
          <w:tcPr>
            <w:tcW w:w="535" w:type="dxa"/>
            <w:vMerge w:val="continue"/>
            <w:tcBorders>
              <w:top w:val="nil"/>
              <w:left w:val="single" w:color="auto" w:sz="4" w:space="0"/>
              <w:bottom w:val="single" w:color="auto" w:sz="4" w:space="0"/>
              <w:right w:val="single" w:color="auto" w:sz="4" w:space="0"/>
            </w:tcBorders>
            <w:vAlign w:val="center"/>
          </w:tcPr>
          <w:p w14:paraId="7BCA46B1">
            <w:pPr>
              <w:widowControl/>
              <w:jc w:val="left"/>
              <w:rPr>
                <w:rFonts w:ascii="宋体" w:hAnsi="宋体" w:eastAsia="宋体" w:cs="宋体"/>
                <w:color w:val="000000"/>
                <w:kern w:val="0"/>
                <w:szCs w:val="21"/>
                <w14:ligatures w14:val="none"/>
              </w:rPr>
            </w:pPr>
          </w:p>
        </w:tc>
        <w:tc>
          <w:tcPr>
            <w:tcW w:w="535" w:type="dxa"/>
            <w:tcBorders>
              <w:top w:val="nil"/>
              <w:left w:val="nil"/>
              <w:bottom w:val="nil"/>
              <w:right w:val="single" w:color="auto" w:sz="4" w:space="0"/>
            </w:tcBorders>
            <w:shd w:val="clear" w:color="auto" w:fill="auto"/>
            <w:vAlign w:val="center"/>
          </w:tcPr>
          <w:p w14:paraId="62058A45">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商机过程反馈</w:t>
            </w:r>
          </w:p>
        </w:tc>
        <w:tc>
          <w:tcPr>
            <w:tcW w:w="535" w:type="dxa"/>
            <w:tcBorders>
              <w:top w:val="nil"/>
              <w:left w:val="nil"/>
              <w:bottom w:val="single" w:color="auto" w:sz="4" w:space="0"/>
              <w:right w:val="single" w:color="auto" w:sz="4" w:space="0"/>
            </w:tcBorders>
            <w:shd w:val="clear" w:color="auto" w:fill="auto"/>
            <w:vAlign w:val="center"/>
          </w:tcPr>
          <w:p w14:paraId="0C498D6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商机数据分析</w:t>
            </w:r>
          </w:p>
        </w:tc>
        <w:tc>
          <w:tcPr>
            <w:tcW w:w="6224" w:type="dxa"/>
            <w:tcBorders>
              <w:top w:val="nil"/>
              <w:left w:val="nil"/>
              <w:bottom w:val="single" w:color="auto" w:sz="4" w:space="0"/>
              <w:right w:val="single" w:color="auto" w:sz="4" w:space="0"/>
            </w:tcBorders>
            <w:shd w:val="clear" w:color="auto" w:fill="auto"/>
            <w:noWrap/>
            <w:vAlign w:val="center"/>
          </w:tcPr>
          <w:p w14:paraId="3AB7668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定期对商机转化数据进行分析，统计转化率、平均转化周期、各阶段流失率等指标。通过数据对比与趋势分析，找出商机转化过程中的薄弱环节与影响因素，如某类商机转化率较低、某个阶段流失严重等。为管理层优化业务流程、调整资源分配、制定营销策略提供数据驱动的决策支持。</w:t>
            </w:r>
          </w:p>
        </w:tc>
      </w:tr>
      <w:tr w14:paraId="70D2E5AE">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F55748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47</w:t>
            </w:r>
          </w:p>
        </w:tc>
        <w:tc>
          <w:tcPr>
            <w:tcW w:w="1605" w:type="dxa"/>
            <w:gridSpan w:val="3"/>
            <w:tcBorders>
              <w:top w:val="single" w:color="auto" w:sz="4" w:space="0"/>
              <w:left w:val="nil"/>
              <w:bottom w:val="single" w:color="auto" w:sz="4" w:space="0"/>
              <w:right w:val="single" w:color="000000" w:sz="4" w:space="0"/>
            </w:tcBorders>
            <w:shd w:val="clear" w:color="auto" w:fill="auto"/>
            <w:vAlign w:val="center"/>
          </w:tcPr>
          <w:p w14:paraId="799FCD7C">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6224" w:type="dxa"/>
            <w:tcBorders>
              <w:top w:val="nil"/>
              <w:left w:val="nil"/>
              <w:bottom w:val="single" w:color="auto" w:sz="4" w:space="0"/>
              <w:right w:val="single" w:color="auto" w:sz="4" w:space="0"/>
            </w:tcBorders>
            <w:shd w:val="clear" w:color="auto" w:fill="auto"/>
            <w:noWrap/>
            <w:vAlign w:val="center"/>
          </w:tcPr>
          <w:p w14:paraId="59DE0775">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4F0959EB">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8827E8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48</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20D7D2B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审计合规管理系统</w:t>
            </w: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587D2F9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审计底稿管理</w:t>
            </w:r>
          </w:p>
        </w:tc>
        <w:tc>
          <w:tcPr>
            <w:tcW w:w="535" w:type="dxa"/>
            <w:tcBorders>
              <w:top w:val="nil"/>
              <w:left w:val="nil"/>
              <w:bottom w:val="single" w:color="auto" w:sz="4" w:space="0"/>
              <w:right w:val="single" w:color="auto" w:sz="4" w:space="0"/>
            </w:tcBorders>
            <w:shd w:val="clear" w:color="auto" w:fill="auto"/>
            <w:vAlign w:val="center"/>
          </w:tcPr>
          <w:p w14:paraId="30887BA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模板匹配与填充</w:t>
            </w:r>
          </w:p>
        </w:tc>
        <w:tc>
          <w:tcPr>
            <w:tcW w:w="6224" w:type="dxa"/>
            <w:tcBorders>
              <w:top w:val="nil"/>
              <w:left w:val="nil"/>
              <w:bottom w:val="single" w:color="auto" w:sz="4" w:space="0"/>
              <w:right w:val="single" w:color="auto" w:sz="4" w:space="0"/>
            </w:tcBorders>
            <w:shd w:val="clear" w:color="auto" w:fill="auto"/>
            <w:noWrap/>
            <w:vAlign w:val="center"/>
          </w:tcPr>
          <w:p w14:paraId="66C42FD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内置丰富的审计底稿模板库，涵盖财务审计、合同审计、合规审计等多种类型。用户可根据审计项目类型与要求，选择匹配适用模板，并将系统整合的选择同步到对应字段，如在财务审计底稿中自动填入科目余额、交易明细等数据，大幅减少人工录入工作量。</w:t>
            </w:r>
          </w:p>
        </w:tc>
      </w:tr>
      <w:tr w14:paraId="55C55A59">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D8A48A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49</w:t>
            </w:r>
          </w:p>
        </w:tc>
        <w:tc>
          <w:tcPr>
            <w:tcW w:w="535" w:type="dxa"/>
            <w:vMerge w:val="continue"/>
            <w:tcBorders>
              <w:top w:val="nil"/>
              <w:left w:val="single" w:color="auto" w:sz="4" w:space="0"/>
              <w:bottom w:val="single" w:color="auto" w:sz="4" w:space="0"/>
              <w:right w:val="single" w:color="auto" w:sz="4" w:space="0"/>
            </w:tcBorders>
            <w:vAlign w:val="center"/>
          </w:tcPr>
          <w:p w14:paraId="2F81D5DA">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75C23BFC">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66BD3E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自定义编辑</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0FC0CDF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支持审计人员对模板底稿进行个性化编辑，添加审计说明、分析结论等内容。</w:t>
            </w:r>
          </w:p>
        </w:tc>
      </w:tr>
      <w:tr w14:paraId="6A9C6D76">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37C8A1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50</w:t>
            </w:r>
          </w:p>
        </w:tc>
        <w:tc>
          <w:tcPr>
            <w:tcW w:w="535" w:type="dxa"/>
            <w:vMerge w:val="continue"/>
            <w:tcBorders>
              <w:top w:val="nil"/>
              <w:left w:val="single" w:color="auto" w:sz="4" w:space="0"/>
              <w:bottom w:val="single" w:color="auto" w:sz="4" w:space="0"/>
              <w:right w:val="single" w:color="auto" w:sz="4" w:space="0"/>
            </w:tcBorders>
            <w:vAlign w:val="center"/>
          </w:tcPr>
          <w:p w14:paraId="03A3BE9E">
            <w:pPr>
              <w:widowControl/>
              <w:jc w:val="left"/>
              <w:rPr>
                <w:rFonts w:ascii="宋体" w:hAnsi="宋体" w:eastAsia="宋体" w:cs="宋体"/>
                <w:color w:val="000000"/>
                <w:kern w:val="0"/>
                <w:szCs w:val="21"/>
                <w14:ligatures w14:val="none"/>
              </w:rPr>
            </w:pPr>
          </w:p>
        </w:tc>
        <w:tc>
          <w:tcPr>
            <w:tcW w:w="535" w:type="dxa"/>
            <w:tcBorders>
              <w:top w:val="nil"/>
              <w:left w:val="nil"/>
              <w:bottom w:val="nil"/>
              <w:right w:val="single" w:color="auto" w:sz="4" w:space="0"/>
            </w:tcBorders>
            <w:shd w:val="clear" w:color="auto" w:fill="auto"/>
            <w:vAlign w:val="center"/>
          </w:tcPr>
          <w:p w14:paraId="63E25878">
            <w:pPr>
              <w:widowControl/>
              <w:jc w:val="left"/>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出资人审计管理</w:t>
            </w:r>
          </w:p>
        </w:tc>
        <w:tc>
          <w:tcPr>
            <w:tcW w:w="535" w:type="dxa"/>
            <w:tcBorders>
              <w:top w:val="nil"/>
              <w:left w:val="nil"/>
              <w:bottom w:val="single" w:color="auto" w:sz="4" w:space="0"/>
              <w:right w:val="single" w:color="auto" w:sz="4" w:space="0"/>
            </w:tcBorders>
            <w:shd w:val="clear" w:color="auto" w:fill="auto"/>
            <w:vAlign w:val="center"/>
          </w:tcPr>
          <w:p w14:paraId="526B099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出资人审计报告</w:t>
            </w:r>
          </w:p>
        </w:tc>
        <w:tc>
          <w:tcPr>
            <w:tcW w:w="6224" w:type="dxa"/>
            <w:tcBorders>
              <w:top w:val="nil"/>
              <w:left w:val="nil"/>
              <w:bottom w:val="single" w:color="auto" w:sz="4" w:space="0"/>
              <w:right w:val="single" w:color="auto" w:sz="4" w:space="0"/>
            </w:tcBorders>
            <w:shd w:val="clear" w:color="auto" w:fill="auto"/>
            <w:noWrap/>
            <w:vAlign w:val="center"/>
          </w:tcPr>
          <w:p w14:paraId="26731E6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基于出资人审计结果，自动生成符合国资监管规范的审计报告模板。报告突出国有资产关键问题（如闲置资产、低效投资）、责任认定及整改建议，并支持按出资人需求定制报告内容与展示形式，便于快速汇报审计成果。</w:t>
            </w:r>
          </w:p>
        </w:tc>
      </w:tr>
      <w:tr w14:paraId="004DC877">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6363F7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51</w:t>
            </w:r>
          </w:p>
        </w:tc>
        <w:tc>
          <w:tcPr>
            <w:tcW w:w="535" w:type="dxa"/>
            <w:vMerge w:val="continue"/>
            <w:tcBorders>
              <w:top w:val="nil"/>
              <w:left w:val="single" w:color="auto" w:sz="4" w:space="0"/>
              <w:bottom w:val="single" w:color="auto" w:sz="4" w:space="0"/>
              <w:right w:val="single" w:color="auto" w:sz="4" w:space="0"/>
            </w:tcBorders>
            <w:vAlign w:val="center"/>
          </w:tcPr>
          <w:p w14:paraId="5EFEED5A">
            <w:pPr>
              <w:widowControl/>
              <w:jc w:val="left"/>
              <w:rPr>
                <w:rFonts w:ascii="宋体" w:hAnsi="宋体" w:eastAsia="宋体" w:cs="宋体"/>
                <w:color w:val="000000"/>
                <w:kern w:val="0"/>
                <w:szCs w:val="21"/>
                <w14:ligatures w14:val="none"/>
              </w:rPr>
            </w:pPr>
          </w:p>
        </w:tc>
        <w:tc>
          <w:tcPr>
            <w:tcW w:w="535"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3455EC5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审计过程跟踪</w:t>
            </w:r>
          </w:p>
        </w:tc>
        <w:tc>
          <w:tcPr>
            <w:tcW w:w="535" w:type="dxa"/>
            <w:tcBorders>
              <w:top w:val="nil"/>
              <w:left w:val="nil"/>
              <w:bottom w:val="single" w:color="auto" w:sz="4" w:space="0"/>
              <w:right w:val="single" w:color="auto" w:sz="4" w:space="0"/>
            </w:tcBorders>
            <w:shd w:val="clear" w:color="auto" w:fill="auto"/>
            <w:vAlign w:val="center"/>
          </w:tcPr>
          <w:p w14:paraId="4C2396F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实时进度监控</w:t>
            </w:r>
          </w:p>
        </w:tc>
        <w:tc>
          <w:tcPr>
            <w:tcW w:w="6224" w:type="dxa"/>
            <w:tcBorders>
              <w:top w:val="nil"/>
              <w:left w:val="nil"/>
              <w:bottom w:val="single" w:color="auto" w:sz="4" w:space="0"/>
              <w:right w:val="single" w:color="auto" w:sz="4" w:space="0"/>
            </w:tcBorders>
            <w:shd w:val="clear" w:color="auto" w:fill="auto"/>
            <w:noWrap/>
            <w:vAlign w:val="center"/>
          </w:tcPr>
          <w:p w14:paraId="33A776F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通过可视化看板，实时展示审计项目整体进度与各子任务完成情况。以甘特图、进度条等形式直观呈现任务开始时间、计划完成时间、实际完成时间，审计负责人可随时掌握审计工作进展。</w:t>
            </w:r>
          </w:p>
        </w:tc>
      </w:tr>
      <w:tr w14:paraId="3F4A1E87">
        <w:tblPrEx>
          <w:tblCellMar>
            <w:top w:w="0" w:type="dxa"/>
            <w:left w:w="108" w:type="dxa"/>
            <w:bottom w:w="0" w:type="dxa"/>
            <w:right w:w="108" w:type="dxa"/>
          </w:tblCellMar>
        </w:tblPrEx>
        <w:trPr>
          <w:trHeight w:val="156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0CE8E3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52</w:t>
            </w:r>
          </w:p>
        </w:tc>
        <w:tc>
          <w:tcPr>
            <w:tcW w:w="535" w:type="dxa"/>
            <w:vMerge w:val="continue"/>
            <w:tcBorders>
              <w:top w:val="nil"/>
              <w:left w:val="single" w:color="auto" w:sz="4" w:space="0"/>
              <w:bottom w:val="single" w:color="auto" w:sz="4" w:space="0"/>
              <w:right w:val="single" w:color="auto" w:sz="4" w:space="0"/>
            </w:tcBorders>
            <w:vAlign w:val="center"/>
          </w:tcPr>
          <w:p w14:paraId="731B6E24">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374BC542">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C77A12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问题实时上报</w:t>
            </w:r>
          </w:p>
        </w:tc>
        <w:tc>
          <w:tcPr>
            <w:tcW w:w="6224" w:type="dxa"/>
            <w:tcBorders>
              <w:top w:val="nil"/>
              <w:left w:val="nil"/>
              <w:bottom w:val="single" w:color="auto" w:sz="4" w:space="0"/>
              <w:right w:val="single" w:color="auto" w:sz="4" w:space="0"/>
            </w:tcBorders>
            <w:shd w:val="clear" w:color="auto" w:fill="auto"/>
            <w:noWrap/>
            <w:vAlign w:val="center"/>
          </w:tcPr>
          <w:p w14:paraId="114B7FB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审计人员在审计过程中发现问题，可通过系统实时上报，详细描述问题情况、涉及数据、风险影响等。系统自动将问题推送至相关负责人及团队成员，提高问题处理效率。</w:t>
            </w:r>
          </w:p>
        </w:tc>
      </w:tr>
      <w:tr w14:paraId="66786A9F">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F9F71D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53</w:t>
            </w:r>
          </w:p>
        </w:tc>
        <w:tc>
          <w:tcPr>
            <w:tcW w:w="535" w:type="dxa"/>
            <w:vMerge w:val="continue"/>
            <w:tcBorders>
              <w:top w:val="nil"/>
              <w:left w:val="single" w:color="auto" w:sz="4" w:space="0"/>
              <w:bottom w:val="single" w:color="auto" w:sz="4" w:space="0"/>
              <w:right w:val="single" w:color="auto" w:sz="4" w:space="0"/>
            </w:tcBorders>
            <w:vAlign w:val="center"/>
          </w:tcPr>
          <w:p w14:paraId="683587A5">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5ED4CD6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F82115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风险预警与提示</w:t>
            </w:r>
          </w:p>
        </w:tc>
        <w:tc>
          <w:tcPr>
            <w:tcW w:w="6224" w:type="dxa"/>
            <w:tcBorders>
              <w:top w:val="nil"/>
              <w:left w:val="nil"/>
              <w:bottom w:val="single" w:color="auto" w:sz="4" w:space="0"/>
              <w:right w:val="single" w:color="auto" w:sz="4" w:space="0"/>
            </w:tcBorders>
            <w:shd w:val="clear" w:color="auto" w:fill="auto"/>
            <w:noWrap/>
            <w:vAlign w:val="center"/>
          </w:tcPr>
          <w:p w14:paraId="2DD0AA3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基于预设的风险指标与规则，对审计过程中发现的数据异常、违规行为等进行实时风险评估。当风险值超过阈值时，系统自动发出预警信息，提示审计人员重点关注，并提供风险应对建议，助力及时化解风险。</w:t>
            </w:r>
          </w:p>
        </w:tc>
      </w:tr>
      <w:tr w14:paraId="55A3CC69">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906BBF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54</w:t>
            </w:r>
          </w:p>
        </w:tc>
        <w:tc>
          <w:tcPr>
            <w:tcW w:w="535" w:type="dxa"/>
            <w:vMerge w:val="continue"/>
            <w:tcBorders>
              <w:top w:val="nil"/>
              <w:left w:val="single" w:color="auto" w:sz="4" w:space="0"/>
              <w:bottom w:val="single" w:color="auto" w:sz="4" w:space="0"/>
              <w:right w:val="single" w:color="auto" w:sz="4" w:space="0"/>
            </w:tcBorders>
            <w:vAlign w:val="center"/>
          </w:tcPr>
          <w:p w14:paraId="02644035">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02E4FE86">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DA6B0B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采购信息统计</w:t>
            </w:r>
          </w:p>
        </w:tc>
        <w:tc>
          <w:tcPr>
            <w:tcW w:w="6224" w:type="dxa"/>
            <w:tcBorders>
              <w:top w:val="nil"/>
              <w:left w:val="nil"/>
              <w:bottom w:val="single" w:color="auto" w:sz="4" w:space="0"/>
              <w:right w:val="single" w:color="auto" w:sz="4" w:space="0"/>
            </w:tcBorders>
            <w:shd w:val="clear" w:color="auto" w:fill="auto"/>
            <w:noWrap/>
            <w:vAlign w:val="center"/>
          </w:tcPr>
          <w:p w14:paraId="5062B0E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和OA系统、合同、项目、商机、资产系统中涉及的项目采购信息进行信息汇总抓取，形成全集团采购项目信息汇总表。</w:t>
            </w:r>
            <w:r>
              <w:rPr>
                <w:rFonts w:hint="eastAsia" w:ascii="宋体" w:hAnsi="宋体" w:eastAsia="宋体" w:cs="宋体"/>
                <w:color w:val="000000"/>
                <w:kern w:val="0"/>
                <w:szCs w:val="21"/>
                <w:lang w:eastAsia="zh-CN"/>
                <w14:ligatures w14:val="none"/>
              </w:rPr>
              <w:t>清晰</w:t>
            </w:r>
            <w:r>
              <w:rPr>
                <w:rFonts w:hint="eastAsia" w:ascii="宋体" w:hAnsi="宋体" w:eastAsia="宋体" w:cs="宋体"/>
                <w:color w:val="000000"/>
                <w:kern w:val="0"/>
                <w:szCs w:val="21"/>
                <w14:ligatures w14:val="none"/>
              </w:rPr>
              <w:t>展示各采购项目的详细数据，可关联下钻到对应的项目详情进行过程数据查阅。</w:t>
            </w:r>
          </w:p>
        </w:tc>
      </w:tr>
      <w:tr w14:paraId="7063860A">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EA89AA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55</w:t>
            </w:r>
          </w:p>
        </w:tc>
        <w:tc>
          <w:tcPr>
            <w:tcW w:w="535" w:type="dxa"/>
            <w:vMerge w:val="continue"/>
            <w:tcBorders>
              <w:top w:val="nil"/>
              <w:left w:val="single" w:color="auto" w:sz="4" w:space="0"/>
              <w:bottom w:val="single" w:color="auto" w:sz="4" w:space="0"/>
              <w:right w:val="single" w:color="auto" w:sz="4" w:space="0"/>
            </w:tcBorders>
            <w:vAlign w:val="center"/>
          </w:tcPr>
          <w:p w14:paraId="24B71248">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463BD37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整改情况反馈</w:t>
            </w:r>
          </w:p>
        </w:tc>
        <w:tc>
          <w:tcPr>
            <w:tcW w:w="535" w:type="dxa"/>
            <w:tcBorders>
              <w:top w:val="nil"/>
              <w:left w:val="nil"/>
              <w:bottom w:val="single" w:color="auto" w:sz="4" w:space="0"/>
              <w:right w:val="single" w:color="auto" w:sz="4" w:space="0"/>
            </w:tcBorders>
            <w:shd w:val="clear" w:color="auto" w:fill="auto"/>
            <w:vAlign w:val="center"/>
          </w:tcPr>
          <w:p w14:paraId="7BF7208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整改任务派发</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0A58490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计项目结束后，根据审计发现的问题，审计管理人员可在系统发布整改任务清单，明确整改内容、责任部门、整改要求与期限，并将任务派发给相关责任部门。同时，通过站内信推送方式告知责任人，确保整改任务及时传达。</w:t>
            </w:r>
          </w:p>
        </w:tc>
      </w:tr>
      <w:tr w14:paraId="343E19F8">
        <w:tblPrEx>
          <w:tblCellMar>
            <w:top w:w="0" w:type="dxa"/>
            <w:left w:w="108" w:type="dxa"/>
            <w:bottom w:w="0" w:type="dxa"/>
            <w:right w:w="108" w:type="dxa"/>
          </w:tblCellMar>
        </w:tblPrEx>
        <w:trPr>
          <w:trHeight w:val="311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EE7EB0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56</w:t>
            </w:r>
          </w:p>
        </w:tc>
        <w:tc>
          <w:tcPr>
            <w:tcW w:w="535" w:type="dxa"/>
            <w:vMerge w:val="continue"/>
            <w:tcBorders>
              <w:top w:val="nil"/>
              <w:left w:val="single" w:color="auto" w:sz="4" w:space="0"/>
              <w:bottom w:val="single" w:color="auto" w:sz="4" w:space="0"/>
              <w:right w:val="single" w:color="auto" w:sz="4" w:space="0"/>
            </w:tcBorders>
            <w:vAlign w:val="center"/>
          </w:tcPr>
          <w:p w14:paraId="1EFA319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210A26E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736B38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整改过程跟踪与反馈</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585A350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责任部门在整改过程中，可通过系统反馈整改进展情况，上传整改证明材料，如整改方案、处理结果文件等。系统实时记录整改过程信息，审计人员可随时查看整改动态，对整改不力或进展缓慢的情况进行督促提醒。</w:t>
            </w:r>
          </w:p>
        </w:tc>
      </w:tr>
      <w:tr w14:paraId="771CB999">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997967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57</w:t>
            </w:r>
          </w:p>
        </w:tc>
        <w:tc>
          <w:tcPr>
            <w:tcW w:w="535" w:type="dxa"/>
            <w:vMerge w:val="continue"/>
            <w:tcBorders>
              <w:top w:val="nil"/>
              <w:left w:val="single" w:color="auto" w:sz="4" w:space="0"/>
              <w:bottom w:val="single" w:color="auto" w:sz="4" w:space="0"/>
              <w:right w:val="single" w:color="auto" w:sz="4" w:space="0"/>
            </w:tcBorders>
            <w:vAlign w:val="center"/>
          </w:tcPr>
          <w:p w14:paraId="29253AFF">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3F01E177">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BA14C4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整改效果评估</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75E27DE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整改期限截止后，审计人员对整改情况进行评估验收。对照整改要求，审核整改证明材料，判断问题是否彻底解决。对于未达整改标准的问题，要求责任部门重新整改，并记录整改延迟原因与处理措施，确保整改工作落实到位。</w:t>
            </w:r>
            <w:r>
              <w:rPr>
                <w:rFonts w:hint="eastAsia" w:ascii="MS Gothic" w:hAnsi="MS Gothic" w:eastAsia="MS Gothic" w:cs="MS Gothic"/>
                <w:color w:val="000000"/>
                <w:kern w:val="0"/>
                <w:szCs w:val="21"/>
                <w14:ligatures w14:val="none"/>
              </w:rPr>
              <w:t>​</w:t>
            </w:r>
          </w:p>
        </w:tc>
      </w:tr>
      <w:tr w14:paraId="70E3C3B6">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50269E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58</w:t>
            </w:r>
          </w:p>
        </w:tc>
        <w:tc>
          <w:tcPr>
            <w:tcW w:w="535" w:type="dxa"/>
            <w:vMerge w:val="continue"/>
            <w:tcBorders>
              <w:top w:val="nil"/>
              <w:left w:val="single" w:color="auto" w:sz="4" w:space="0"/>
              <w:bottom w:val="single" w:color="auto" w:sz="4" w:space="0"/>
              <w:right w:val="single" w:color="auto" w:sz="4" w:space="0"/>
            </w:tcBorders>
            <w:vAlign w:val="center"/>
          </w:tcPr>
          <w:p w14:paraId="53C2B78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710D7024">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373384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整改数据统计分析</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453CE2A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系统对整改数据进行统计分析，生成整改完成率、整改延迟率、同类问题重复出现率等指标报表。通过数据分析，总结整改工作经验教训，发现企业管理薄弱环节，为后续审计与合规管理提供参考依据。</w:t>
            </w:r>
          </w:p>
        </w:tc>
      </w:tr>
      <w:tr w14:paraId="554C5F06">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E28538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59</w:t>
            </w:r>
          </w:p>
        </w:tc>
        <w:tc>
          <w:tcPr>
            <w:tcW w:w="535" w:type="dxa"/>
            <w:vMerge w:val="continue"/>
            <w:tcBorders>
              <w:top w:val="nil"/>
              <w:left w:val="single" w:color="auto" w:sz="4" w:space="0"/>
              <w:bottom w:val="single" w:color="auto" w:sz="4" w:space="0"/>
              <w:right w:val="single" w:color="auto" w:sz="4" w:space="0"/>
            </w:tcBorders>
            <w:vAlign w:val="center"/>
          </w:tcPr>
          <w:p w14:paraId="0B1567D3">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3E7A5DA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风险点配置</w:t>
            </w:r>
          </w:p>
        </w:tc>
        <w:tc>
          <w:tcPr>
            <w:tcW w:w="535" w:type="dxa"/>
            <w:tcBorders>
              <w:top w:val="nil"/>
              <w:left w:val="nil"/>
              <w:bottom w:val="single" w:color="auto" w:sz="4" w:space="0"/>
              <w:right w:val="single" w:color="auto" w:sz="4" w:space="0"/>
            </w:tcBorders>
            <w:shd w:val="clear" w:color="auto" w:fill="auto"/>
            <w:vAlign w:val="center"/>
          </w:tcPr>
          <w:p w14:paraId="48D57F1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风险点建设</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2C97E6DB">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建立企业业务合规风险点库，涵盖财务、合同、采购、投资等多个业务领域。对每个风险点进行详细描述，包括风险表现形式、可能造成的后果、涉及的法律法规与企业制度条款等，形成全面的风险知识储备。</w:t>
            </w:r>
            <w:r>
              <w:rPr>
                <w:rFonts w:hint="eastAsia" w:ascii="MS Gothic" w:hAnsi="MS Gothic" w:eastAsia="MS Gothic" w:cs="MS Gothic"/>
                <w:color w:val="000000"/>
                <w:kern w:val="0"/>
                <w:szCs w:val="21"/>
                <w14:ligatures w14:val="none"/>
              </w:rPr>
              <w:t>​</w:t>
            </w:r>
          </w:p>
        </w:tc>
      </w:tr>
      <w:tr w14:paraId="64B13208">
        <w:tblPrEx>
          <w:tblCellMar>
            <w:top w:w="0" w:type="dxa"/>
            <w:left w:w="108" w:type="dxa"/>
            <w:bottom w:w="0" w:type="dxa"/>
            <w:right w:w="108" w:type="dxa"/>
          </w:tblCellMar>
        </w:tblPrEx>
        <w:trPr>
          <w:trHeight w:val="280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774E9A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60</w:t>
            </w:r>
          </w:p>
        </w:tc>
        <w:tc>
          <w:tcPr>
            <w:tcW w:w="535" w:type="dxa"/>
            <w:vMerge w:val="continue"/>
            <w:tcBorders>
              <w:top w:val="nil"/>
              <w:left w:val="single" w:color="auto" w:sz="4" w:space="0"/>
              <w:bottom w:val="single" w:color="auto" w:sz="4" w:space="0"/>
              <w:right w:val="single" w:color="auto" w:sz="4" w:space="0"/>
            </w:tcBorders>
            <w:vAlign w:val="center"/>
          </w:tcPr>
          <w:p w14:paraId="7F27733F">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56B8A67E">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499850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自定义风险点设置</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25AAECB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企业根据自身业务特点、管理需求及监管政策变化，自定义新增或修改风险点。设置风险点触发条件，如投资项目决策会议前需基本相关文档支撑，会议中没有提供，则可触发风险，灵活适配企业多样化的合规管理要求。</w:t>
            </w:r>
            <w:r>
              <w:rPr>
                <w:rFonts w:hint="eastAsia" w:ascii="MS Gothic" w:hAnsi="MS Gothic" w:eastAsia="MS Gothic" w:cs="MS Gothic"/>
                <w:color w:val="000000"/>
                <w:kern w:val="0"/>
                <w:szCs w:val="21"/>
                <w14:ligatures w14:val="none"/>
              </w:rPr>
              <w:t>​</w:t>
            </w:r>
          </w:p>
        </w:tc>
      </w:tr>
      <w:tr w14:paraId="24D8D9DE">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09FE94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61</w:t>
            </w:r>
          </w:p>
        </w:tc>
        <w:tc>
          <w:tcPr>
            <w:tcW w:w="535" w:type="dxa"/>
            <w:vMerge w:val="continue"/>
            <w:tcBorders>
              <w:top w:val="nil"/>
              <w:left w:val="single" w:color="auto" w:sz="4" w:space="0"/>
              <w:bottom w:val="single" w:color="auto" w:sz="4" w:space="0"/>
              <w:right w:val="single" w:color="auto" w:sz="4" w:space="0"/>
            </w:tcBorders>
            <w:vAlign w:val="center"/>
          </w:tcPr>
          <w:p w14:paraId="7B3F62D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526DF98C">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B5EDC7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风险等级评估</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2CA7BDA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为每个风险点设定风险等级，分为高、中、低三个级别。根据风险发生的可能性与影响程度，审计管理人员可以把风险进行级别划分，确定风险优先级，便于企业集中资源应对高风险问题。</w:t>
            </w:r>
          </w:p>
        </w:tc>
      </w:tr>
      <w:tr w14:paraId="0EFCC70D">
        <w:tblPrEx>
          <w:tblCellMar>
            <w:top w:w="0" w:type="dxa"/>
            <w:left w:w="108" w:type="dxa"/>
            <w:bottom w:w="0" w:type="dxa"/>
            <w:right w:w="108" w:type="dxa"/>
          </w:tblCellMar>
        </w:tblPrEx>
        <w:trPr>
          <w:trHeight w:val="280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157F30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62</w:t>
            </w:r>
          </w:p>
        </w:tc>
        <w:tc>
          <w:tcPr>
            <w:tcW w:w="535" w:type="dxa"/>
            <w:vMerge w:val="continue"/>
            <w:tcBorders>
              <w:top w:val="nil"/>
              <w:left w:val="single" w:color="auto" w:sz="4" w:space="0"/>
              <w:bottom w:val="single" w:color="auto" w:sz="4" w:space="0"/>
              <w:right w:val="single" w:color="auto" w:sz="4" w:space="0"/>
            </w:tcBorders>
            <w:vAlign w:val="center"/>
          </w:tcPr>
          <w:p w14:paraId="00A4921D">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1EA8EF5A">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551A61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风险点关联与映射</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220CEC1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将风险点与企业业务流程、制度条款、岗位权责进行关联映射。例如，明确某个合同风险点对应合同审批流程的具体环节、违反的制度条款以及相关责任岗位，实现风险防控与业务管理的深度融合。</w:t>
            </w:r>
          </w:p>
        </w:tc>
      </w:tr>
      <w:tr w14:paraId="48744FDA">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7FA681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63</w:t>
            </w:r>
          </w:p>
        </w:tc>
        <w:tc>
          <w:tcPr>
            <w:tcW w:w="535" w:type="dxa"/>
            <w:vMerge w:val="continue"/>
            <w:tcBorders>
              <w:top w:val="nil"/>
              <w:left w:val="single" w:color="auto" w:sz="4" w:space="0"/>
              <w:bottom w:val="single" w:color="auto" w:sz="4" w:space="0"/>
              <w:right w:val="single" w:color="auto" w:sz="4" w:space="0"/>
            </w:tcBorders>
            <w:vAlign w:val="center"/>
          </w:tcPr>
          <w:p w14:paraId="6C67CBEF">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75ECD03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合规数据监督</w:t>
            </w:r>
          </w:p>
        </w:tc>
        <w:tc>
          <w:tcPr>
            <w:tcW w:w="535" w:type="dxa"/>
            <w:tcBorders>
              <w:top w:val="nil"/>
              <w:left w:val="nil"/>
              <w:bottom w:val="single" w:color="auto" w:sz="4" w:space="0"/>
              <w:right w:val="single" w:color="auto" w:sz="4" w:space="0"/>
            </w:tcBorders>
            <w:shd w:val="clear" w:color="auto" w:fill="auto"/>
            <w:vAlign w:val="center"/>
          </w:tcPr>
          <w:p w14:paraId="4FC15A7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实时数据监测</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2EA12B4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系统实时对接企业各业务系统数据源，对关键业务数据进行持续监测，如财务收支数据、合同签订数据、采购交易数据等。按照预设的风险点触发条件，自动筛查异常数据，及时发现潜在合规风险。</w:t>
            </w:r>
            <w:r>
              <w:rPr>
                <w:rFonts w:hint="eastAsia" w:ascii="MS Gothic" w:hAnsi="MS Gothic" w:eastAsia="MS Gothic" w:cs="MS Gothic"/>
                <w:color w:val="000000"/>
                <w:kern w:val="0"/>
                <w:szCs w:val="21"/>
                <w14:ligatures w14:val="none"/>
              </w:rPr>
              <w:t>​</w:t>
            </w:r>
          </w:p>
        </w:tc>
      </w:tr>
      <w:tr w14:paraId="3B91593F">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A70397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64</w:t>
            </w:r>
          </w:p>
        </w:tc>
        <w:tc>
          <w:tcPr>
            <w:tcW w:w="535" w:type="dxa"/>
            <w:vMerge w:val="continue"/>
            <w:tcBorders>
              <w:top w:val="nil"/>
              <w:left w:val="single" w:color="auto" w:sz="4" w:space="0"/>
              <w:bottom w:val="single" w:color="auto" w:sz="4" w:space="0"/>
              <w:right w:val="single" w:color="auto" w:sz="4" w:space="0"/>
            </w:tcBorders>
            <w:vAlign w:val="center"/>
          </w:tcPr>
          <w:p w14:paraId="29DEF953">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160FBBB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4E5188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阀值预警通知</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5BB3DF3B">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当系统监测到数据异常触发风险点时，系统自动发出预警信息，通过站内信方式通知相关人员，包括风险责任部门负责人、合规管理人员、审计人员等。预警信息包含风险描述、涉及数据、风险等级等内容，便于快速响应处理。</w:t>
            </w:r>
          </w:p>
        </w:tc>
      </w:tr>
      <w:tr w14:paraId="70A4F09C">
        <w:tblPrEx>
          <w:tblCellMar>
            <w:top w:w="0" w:type="dxa"/>
            <w:left w:w="108" w:type="dxa"/>
            <w:bottom w:w="0" w:type="dxa"/>
            <w:right w:w="108" w:type="dxa"/>
          </w:tblCellMar>
        </w:tblPrEx>
        <w:trPr>
          <w:trHeight w:val="249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C11AF0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65</w:t>
            </w:r>
          </w:p>
        </w:tc>
        <w:tc>
          <w:tcPr>
            <w:tcW w:w="535" w:type="dxa"/>
            <w:vMerge w:val="continue"/>
            <w:tcBorders>
              <w:top w:val="nil"/>
              <w:left w:val="single" w:color="auto" w:sz="4" w:space="0"/>
              <w:bottom w:val="single" w:color="auto" w:sz="4" w:space="0"/>
              <w:right w:val="single" w:color="auto" w:sz="4" w:space="0"/>
            </w:tcBorders>
            <w:vAlign w:val="center"/>
          </w:tcPr>
          <w:p w14:paraId="6EA06509">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3270CF80">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7A465E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风险溯源与分析</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5AF152A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对于触发预警的风险事件，系统支持对相关数据进行溯源分析，追溯数据来源、操作记录、业务流程环节等信息。帮助企业深入了解风险成因，制定针对性地防控措施。</w:t>
            </w:r>
          </w:p>
        </w:tc>
      </w:tr>
      <w:tr w14:paraId="26589E82">
        <w:tblPrEx>
          <w:tblCellMar>
            <w:top w:w="0" w:type="dxa"/>
            <w:left w:w="108" w:type="dxa"/>
            <w:bottom w:w="0" w:type="dxa"/>
            <w:right w:w="108" w:type="dxa"/>
          </w:tblCellMar>
        </w:tblPrEx>
        <w:trPr>
          <w:trHeight w:val="280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0A7755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66</w:t>
            </w:r>
          </w:p>
        </w:tc>
        <w:tc>
          <w:tcPr>
            <w:tcW w:w="535" w:type="dxa"/>
            <w:vMerge w:val="continue"/>
            <w:tcBorders>
              <w:top w:val="nil"/>
              <w:left w:val="single" w:color="auto" w:sz="4" w:space="0"/>
              <w:bottom w:val="single" w:color="auto" w:sz="4" w:space="0"/>
              <w:right w:val="single" w:color="auto" w:sz="4" w:space="0"/>
            </w:tcBorders>
            <w:vAlign w:val="center"/>
          </w:tcPr>
          <w:p w14:paraId="5C05E2EE">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390E58B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76D68D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合规数据统计报表</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0C7997A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定期生成合规数据统计报表，汇总展示企业合规风险总体情况，如风险事件数量、风险类型分布、风险发生频率等。通过报表分析，评估企业合规管理成效，发现合规管理薄弱环节，为企业优化合规管理策略提供数据支持。</w:t>
            </w:r>
          </w:p>
        </w:tc>
      </w:tr>
      <w:tr w14:paraId="5AC9E0AA">
        <w:tblPrEx>
          <w:tblCellMar>
            <w:top w:w="0" w:type="dxa"/>
            <w:left w:w="108" w:type="dxa"/>
            <w:bottom w:w="0" w:type="dxa"/>
            <w:right w:w="108" w:type="dxa"/>
          </w:tblCellMar>
        </w:tblPrEx>
        <w:trPr>
          <w:trHeight w:val="311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3AF871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67</w:t>
            </w:r>
          </w:p>
        </w:tc>
        <w:tc>
          <w:tcPr>
            <w:tcW w:w="535" w:type="dxa"/>
            <w:vMerge w:val="continue"/>
            <w:tcBorders>
              <w:top w:val="nil"/>
              <w:left w:val="single" w:color="auto" w:sz="4" w:space="0"/>
              <w:bottom w:val="single" w:color="auto" w:sz="4" w:space="0"/>
              <w:right w:val="single" w:color="auto" w:sz="4" w:space="0"/>
            </w:tcBorders>
            <w:vAlign w:val="center"/>
          </w:tcPr>
          <w:p w14:paraId="46727059">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nil"/>
              <w:right w:val="single" w:color="auto" w:sz="4" w:space="0"/>
            </w:tcBorders>
            <w:shd w:val="clear" w:color="auto" w:fill="auto"/>
            <w:vAlign w:val="center"/>
          </w:tcPr>
          <w:p w14:paraId="376C890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审计数据看板</w:t>
            </w:r>
          </w:p>
        </w:tc>
        <w:tc>
          <w:tcPr>
            <w:tcW w:w="535" w:type="dxa"/>
            <w:tcBorders>
              <w:top w:val="nil"/>
              <w:left w:val="nil"/>
              <w:bottom w:val="single" w:color="auto" w:sz="4" w:space="0"/>
              <w:right w:val="single" w:color="auto" w:sz="4" w:space="0"/>
            </w:tcBorders>
            <w:shd w:val="clear" w:color="auto" w:fill="auto"/>
            <w:vAlign w:val="center"/>
          </w:tcPr>
          <w:p w14:paraId="4501BD4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多维数据可视化展示</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54E502E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以直观的图表、仪表盘等形式，对审计与合规管理相关数据进行多维度可视化展示。展示内容包括审计项目进度、风险事件分布、整改完成情况、合规指标达成率等，帮助管理层快速了解企业审计合规管理整体状况。</w:t>
            </w:r>
            <w:r>
              <w:rPr>
                <w:rFonts w:hint="eastAsia" w:ascii="MS Gothic" w:hAnsi="MS Gothic" w:eastAsia="MS Gothic" w:cs="MS Gothic"/>
                <w:color w:val="000000"/>
                <w:kern w:val="0"/>
                <w:szCs w:val="21"/>
                <w14:ligatures w14:val="none"/>
              </w:rPr>
              <w:t>​</w:t>
            </w:r>
          </w:p>
        </w:tc>
      </w:tr>
      <w:tr w14:paraId="4D5BD503">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034BFC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68</w:t>
            </w:r>
          </w:p>
        </w:tc>
        <w:tc>
          <w:tcPr>
            <w:tcW w:w="535" w:type="dxa"/>
            <w:vMerge w:val="continue"/>
            <w:tcBorders>
              <w:top w:val="nil"/>
              <w:left w:val="single" w:color="auto" w:sz="4" w:space="0"/>
              <w:bottom w:val="single" w:color="auto" w:sz="4" w:space="0"/>
              <w:right w:val="single" w:color="auto" w:sz="4" w:space="0"/>
            </w:tcBorders>
            <w:vAlign w:val="center"/>
          </w:tcPr>
          <w:p w14:paraId="181E7851">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5A99E53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61F252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数据刷新管理</w:t>
            </w:r>
          </w:p>
        </w:tc>
        <w:tc>
          <w:tcPr>
            <w:tcW w:w="6224" w:type="dxa"/>
            <w:tcBorders>
              <w:top w:val="nil"/>
              <w:left w:val="nil"/>
              <w:bottom w:val="single" w:color="auto" w:sz="4" w:space="0"/>
              <w:right w:val="single" w:color="auto" w:sz="4" w:space="0"/>
            </w:tcBorders>
            <w:shd w:val="clear" w:color="auto" w:fill="auto"/>
            <w:noWrap/>
            <w:vAlign w:val="center"/>
          </w:tcPr>
          <w:p w14:paraId="46F2051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数据看板支持实时动态刷新，确保展示数据的及时性与准确性。同时，提供数据交互功能，用户可通过点击、筛选、钻取等操作，深入查看具体数据详情。</w:t>
            </w:r>
          </w:p>
        </w:tc>
      </w:tr>
      <w:tr w14:paraId="3146E37A">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5319A8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69</w:t>
            </w:r>
          </w:p>
        </w:tc>
        <w:tc>
          <w:tcPr>
            <w:tcW w:w="1605" w:type="dxa"/>
            <w:gridSpan w:val="3"/>
            <w:tcBorders>
              <w:top w:val="single" w:color="auto" w:sz="4" w:space="0"/>
              <w:left w:val="nil"/>
              <w:bottom w:val="single" w:color="auto" w:sz="4" w:space="0"/>
              <w:right w:val="single" w:color="000000" w:sz="4" w:space="0"/>
            </w:tcBorders>
            <w:shd w:val="clear" w:color="auto" w:fill="auto"/>
            <w:vAlign w:val="center"/>
          </w:tcPr>
          <w:p w14:paraId="3D5D6A3C">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6224" w:type="dxa"/>
            <w:tcBorders>
              <w:top w:val="nil"/>
              <w:left w:val="nil"/>
              <w:bottom w:val="single" w:color="auto" w:sz="4" w:space="0"/>
              <w:right w:val="single" w:color="auto" w:sz="4" w:space="0"/>
            </w:tcBorders>
            <w:shd w:val="clear" w:color="auto" w:fill="auto"/>
            <w:noWrap/>
            <w:vAlign w:val="center"/>
          </w:tcPr>
          <w:p w14:paraId="49DD468D">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0FA80A2E">
        <w:tblPrEx>
          <w:tblCellMar>
            <w:top w:w="0" w:type="dxa"/>
            <w:left w:w="108" w:type="dxa"/>
            <w:bottom w:w="0" w:type="dxa"/>
            <w:right w:w="108" w:type="dxa"/>
          </w:tblCellMar>
        </w:tblPrEx>
        <w:trPr>
          <w:trHeight w:val="94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E5EFE0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70</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6BC26E4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资产管理系统</w:t>
            </w: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0B4A9FA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资产门户</w:t>
            </w:r>
          </w:p>
        </w:tc>
        <w:tc>
          <w:tcPr>
            <w:tcW w:w="535" w:type="dxa"/>
            <w:tcBorders>
              <w:top w:val="nil"/>
              <w:left w:val="nil"/>
              <w:bottom w:val="single" w:color="auto" w:sz="4" w:space="0"/>
              <w:right w:val="single" w:color="auto" w:sz="4" w:space="0"/>
            </w:tcBorders>
            <w:shd w:val="clear" w:color="auto" w:fill="auto"/>
            <w:vAlign w:val="center"/>
          </w:tcPr>
          <w:p w14:paraId="71BDFB4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资产信息概览</w:t>
            </w:r>
          </w:p>
        </w:tc>
        <w:tc>
          <w:tcPr>
            <w:tcW w:w="6224" w:type="dxa"/>
            <w:tcBorders>
              <w:top w:val="nil"/>
              <w:left w:val="nil"/>
              <w:bottom w:val="single" w:color="auto" w:sz="4" w:space="0"/>
              <w:right w:val="single" w:color="auto" w:sz="4" w:space="0"/>
            </w:tcBorders>
            <w:shd w:val="clear" w:color="auto" w:fill="auto"/>
            <w:noWrap/>
            <w:vAlign w:val="center"/>
          </w:tcPr>
          <w:p w14:paraId="1A81D13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支持资产信息、数据的聚合，形成资产工作桌面。一个窗口聚合展示全类资产动态。形成一个资产应用与信息的展示窗口，从各个应用模块抽取信息，分类组合之后，可以集中的展现。</w:t>
            </w:r>
          </w:p>
        </w:tc>
      </w:tr>
      <w:tr w14:paraId="51902CC7">
        <w:tblPrEx>
          <w:tblCellMar>
            <w:top w:w="0" w:type="dxa"/>
            <w:left w:w="108" w:type="dxa"/>
            <w:bottom w:w="0" w:type="dxa"/>
            <w:right w:w="108" w:type="dxa"/>
          </w:tblCellMar>
        </w:tblPrEx>
        <w:trPr>
          <w:trHeight w:val="156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FFB238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71</w:t>
            </w:r>
          </w:p>
        </w:tc>
        <w:tc>
          <w:tcPr>
            <w:tcW w:w="535" w:type="dxa"/>
            <w:vMerge w:val="continue"/>
            <w:tcBorders>
              <w:top w:val="nil"/>
              <w:left w:val="single" w:color="auto" w:sz="4" w:space="0"/>
              <w:bottom w:val="single" w:color="auto" w:sz="4" w:space="0"/>
              <w:right w:val="single" w:color="auto" w:sz="4" w:space="0"/>
            </w:tcBorders>
            <w:vAlign w:val="center"/>
          </w:tcPr>
          <w:p w14:paraId="7AC3D49D">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67CBE85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9095EC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资产共享池</w:t>
            </w:r>
          </w:p>
        </w:tc>
        <w:tc>
          <w:tcPr>
            <w:tcW w:w="6224" w:type="dxa"/>
            <w:tcBorders>
              <w:top w:val="nil"/>
              <w:left w:val="nil"/>
              <w:bottom w:val="single" w:color="auto" w:sz="4" w:space="0"/>
              <w:right w:val="single" w:color="auto" w:sz="4" w:space="0"/>
            </w:tcBorders>
            <w:shd w:val="clear" w:color="auto" w:fill="auto"/>
            <w:noWrap/>
            <w:vAlign w:val="center"/>
          </w:tcPr>
          <w:p w14:paraId="094E398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以类似商城形式呈现组织内闲置资产，将可共享的资产纳入其中，供组织内部或跨组织使用。</w:t>
            </w:r>
          </w:p>
        </w:tc>
      </w:tr>
      <w:tr w14:paraId="150BB0D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6B645F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72</w:t>
            </w:r>
          </w:p>
        </w:tc>
        <w:tc>
          <w:tcPr>
            <w:tcW w:w="535" w:type="dxa"/>
            <w:vMerge w:val="continue"/>
            <w:tcBorders>
              <w:top w:val="nil"/>
              <w:left w:val="single" w:color="auto" w:sz="4" w:space="0"/>
              <w:bottom w:val="single" w:color="auto" w:sz="4" w:space="0"/>
              <w:right w:val="single" w:color="auto" w:sz="4" w:space="0"/>
            </w:tcBorders>
            <w:vAlign w:val="center"/>
          </w:tcPr>
          <w:p w14:paraId="078EB6B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5ABE03D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FFA018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资产状态</w:t>
            </w:r>
          </w:p>
        </w:tc>
        <w:tc>
          <w:tcPr>
            <w:tcW w:w="6224" w:type="dxa"/>
            <w:tcBorders>
              <w:top w:val="nil"/>
              <w:left w:val="nil"/>
              <w:bottom w:val="single" w:color="auto" w:sz="4" w:space="0"/>
              <w:right w:val="single" w:color="auto" w:sz="4" w:space="0"/>
            </w:tcBorders>
            <w:shd w:val="clear" w:color="auto" w:fill="auto"/>
            <w:noWrap/>
            <w:vAlign w:val="center"/>
          </w:tcPr>
          <w:p w14:paraId="4B9487F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通过数据列表展示闲置资产的实时状态，包括闲置时间、维修记录、预计使用寿命等，以便管理人员及时了解资产情况。</w:t>
            </w:r>
          </w:p>
        </w:tc>
      </w:tr>
      <w:tr w14:paraId="3ADB34A2">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E338C3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73</w:t>
            </w:r>
          </w:p>
        </w:tc>
        <w:tc>
          <w:tcPr>
            <w:tcW w:w="535" w:type="dxa"/>
            <w:vMerge w:val="continue"/>
            <w:tcBorders>
              <w:top w:val="nil"/>
              <w:left w:val="single" w:color="auto" w:sz="4" w:space="0"/>
              <w:bottom w:val="single" w:color="auto" w:sz="4" w:space="0"/>
              <w:right w:val="single" w:color="auto" w:sz="4" w:space="0"/>
            </w:tcBorders>
            <w:vAlign w:val="center"/>
          </w:tcPr>
          <w:p w14:paraId="6B5A0C01">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5A43BF4F">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4E1A62B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闲置优化</w:t>
            </w:r>
          </w:p>
        </w:tc>
        <w:tc>
          <w:tcPr>
            <w:tcW w:w="6224" w:type="dxa"/>
            <w:tcBorders>
              <w:top w:val="nil"/>
              <w:left w:val="nil"/>
              <w:bottom w:val="single" w:color="auto" w:sz="4" w:space="0"/>
              <w:right w:val="single" w:color="auto" w:sz="4" w:space="0"/>
            </w:tcBorders>
            <w:shd w:val="clear" w:color="auto" w:fill="auto"/>
            <w:noWrap/>
            <w:vAlign w:val="center"/>
          </w:tcPr>
          <w:p w14:paraId="421BB66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根据数据分析结果，提出闲置资产的优化配置建议，如跨部门调配、重新分配使用、出租或出售等。</w:t>
            </w:r>
          </w:p>
        </w:tc>
      </w:tr>
      <w:tr w14:paraId="54C7A72C">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FFC9A6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74</w:t>
            </w:r>
          </w:p>
        </w:tc>
        <w:tc>
          <w:tcPr>
            <w:tcW w:w="535" w:type="dxa"/>
            <w:vMerge w:val="continue"/>
            <w:tcBorders>
              <w:top w:val="nil"/>
              <w:left w:val="single" w:color="auto" w:sz="4" w:space="0"/>
              <w:bottom w:val="single" w:color="auto" w:sz="4" w:space="0"/>
              <w:right w:val="single" w:color="auto" w:sz="4" w:space="0"/>
            </w:tcBorders>
            <w:vAlign w:val="center"/>
          </w:tcPr>
          <w:p w14:paraId="78BE2838">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35CC085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资产入库</w:t>
            </w:r>
          </w:p>
        </w:tc>
        <w:tc>
          <w:tcPr>
            <w:tcW w:w="535" w:type="dxa"/>
            <w:tcBorders>
              <w:top w:val="nil"/>
              <w:left w:val="nil"/>
              <w:bottom w:val="single" w:color="auto" w:sz="4" w:space="0"/>
              <w:right w:val="single" w:color="auto" w:sz="4" w:space="0"/>
            </w:tcBorders>
            <w:shd w:val="clear" w:color="auto" w:fill="auto"/>
            <w:vAlign w:val="center"/>
          </w:tcPr>
          <w:p w14:paraId="238EAC1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资产入库</w:t>
            </w:r>
          </w:p>
        </w:tc>
        <w:tc>
          <w:tcPr>
            <w:tcW w:w="6224" w:type="dxa"/>
            <w:tcBorders>
              <w:top w:val="nil"/>
              <w:left w:val="nil"/>
              <w:bottom w:val="single" w:color="auto" w:sz="4" w:space="0"/>
              <w:right w:val="single" w:color="auto" w:sz="4" w:space="0"/>
            </w:tcBorders>
            <w:shd w:val="clear" w:color="auto" w:fill="auto"/>
            <w:noWrap/>
            <w:vAlign w:val="center"/>
          </w:tcPr>
          <w:p w14:paraId="24CF0AE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到货的资产进行验收，确保其符合合同约定的要求和质量标准。验收合格后，自动生成入库单，更新库存信息。接收其他单位调拨、划拨、重组并购所得资产的登记入口，自动生成入库单，更新库存信息。允许用户通过系统界面手动维护资产的基本信息，支持手机扫码或拍照资产标签后OCR识别自动完善资产信息。</w:t>
            </w:r>
          </w:p>
        </w:tc>
      </w:tr>
      <w:tr w14:paraId="2FD3161F">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C6030A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75</w:t>
            </w:r>
          </w:p>
        </w:tc>
        <w:tc>
          <w:tcPr>
            <w:tcW w:w="535" w:type="dxa"/>
            <w:vMerge w:val="continue"/>
            <w:tcBorders>
              <w:top w:val="nil"/>
              <w:left w:val="single" w:color="auto" w:sz="4" w:space="0"/>
              <w:bottom w:val="single" w:color="auto" w:sz="4" w:space="0"/>
              <w:right w:val="single" w:color="auto" w:sz="4" w:space="0"/>
            </w:tcBorders>
            <w:vAlign w:val="center"/>
          </w:tcPr>
          <w:p w14:paraId="5AC79A11">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7515D1F9">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20F77D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资产赋码</w:t>
            </w:r>
          </w:p>
        </w:tc>
        <w:tc>
          <w:tcPr>
            <w:tcW w:w="6224" w:type="dxa"/>
            <w:tcBorders>
              <w:top w:val="nil"/>
              <w:left w:val="nil"/>
              <w:bottom w:val="single" w:color="auto" w:sz="4" w:space="0"/>
              <w:right w:val="single" w:color="auto" w:sz="4" w:space="0"/>
            </w:tcBorders>
            <w:shd w:val="clear" w:color="auto" w:fill="auto"/>
            <w:noWrap/>
            <w:vAlign w:val="center"/>
          </w:tcPr>
          <w:p w14:paraId="6CCA444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系统支持资产标签样式可视化设计，内置打印管理模块，用户设计的标签样式所见即所得。用户设计好标签样式后，在进行资产入库时可以选择该标签样式，链接资产标签打印专用打印机进行RFID标签打印。</w:t>
            </w:r>
          </w:p>
        </w:tc>
      </w:tr>
      <w:tr w14:paraId="74CD8D91">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8ED077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76</w:t>
            </w:r>
          </w:p>
        </w:tc>
        <w:tc>
          <w:tcPr>
            <w:tcW w:w="535" w:type="dxa"/>
            <w:vMerge w:val="continue"/>
            <w:tcBorders>
              <w:top w:val="nil"/>
              <w:left w:val="single" w:color="auto" w:sz="4" w:space="0"/>
              <w:bottom w:val="single" w:color="auto" w:sz="4" w:space="0"/>
              <w:right w:val="single" w:color="auto" w:sz="4" w:space="0"/>
            </w:tcBorders>
            <w:vAlign w:val="center"/>
          </w:tcPr>
          <w:p w14:paraId="44E4BAB4">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1B12FB0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资产使用</w:t>
            </w:r>
          </w:p>
        </w:tc>
        <w:tc>
          <w:tcPr>
            <w:tcW w:w="535" w:type="dxa"/>
            <w:tcBorders>
              <w:top w:val="nil"/>
              <w:left w:val="nil"/>
              <w:bottom w:val="single" w:color="auto" w:sz="4" w:space="0"/>
              <w:right w:val="single" w:color="auto" w:sz="4" w:space="0"/>
            </w:tcBorders>
            <w:shd w:val="clear" w:color="auto" w:fill="auto"/>
            <w:vAlign w:val="center"/>
          </w:tcPr>
          <w:p w14:paraId="00D51E2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资产领用</w:t>
            </w:r>
          </w:p>
        </w:tc>
        <w:tc>
          <w:tcPr>
            <w:tcW w:w="6224" w:type="dxa"/>
            <w:tcBorders>
              <w:top w:val="nil"/>
              <w:left w:val="nil"/>
              <w:bottom w:val="single" w:color="auto" w:sz="4" w:space="0"/>
              <w:right w:val="single" w:color="auto" w:sz="4" w:space="0"/>
            </w:tcBorders>
            <w:shd w:val="clear" w:color="auto" w:fill="auto"/>
            <w:noWrap/>
            <w:vAlign w:val="center"/>
          </w:tcPr>
          <w:p w14:paraId="61C0730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部门或员工对在库资产进行领用申请，需经过流程审批后方可领用，自动生成资产领用单，自动修改库存数量及资产状态。在领用审批中，关联系申请人现有资产信息，确保领用申请的合理性和合规性。同时也关联资产共享及闲置数据，给出判断依据，优先提供资产调拨建议。</w:t>
            </w:r>
          </w:p>
        </w:tc>
      </w:tr>
      <w:tr w14:paraId="1A75AC2C">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D09527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77</w:t>
            </w:r>
          </w:p>
        </w:tc>
        <w:tc>
          <w:tcPr>
            <w:tcW w:w="535" w:type="dxa"/>
            <w:vMerge w:val="continue"/>
            <w:tcBorders>
              <w:top w:val="nil"/>
              <w:left w:val="single" w:color="auto" w:sz="4" w:space="0"/>
              <w:bottom w:val="single" w:color="auto" w:sz="4" w:space="0"/>
              <w:right w:val="single" w:color="auto" w:sz="4" w:space="0"/>
            </w:tcBorders>
            <w:vAlign w:val="center"/>
          </w:tcPr>
          <w:p w14:paraId="092CA1C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09DEE6A9">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FD584C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资产调拨</w:t>
            </w:r>
          </w:p>
        </w:tc>
        <w:tc>
          <w:tcPr>
            <w:tcW w:w="6224" w:type="dxa"/>
            <w:tcBorders>
              <w:top w:val="nil"/>
              <w:left w:val="nil"/>
              <w:bottom w:val="single" w:color="auto" w:sz="4" w:space="0"/>
              <w:right w:val="single" w:color="auto" w:sz="4" w:space="0"/>
            </w:tcBorders>
            <w:shd w:val="clear" w:color="auto" w:fill="auto"/>
            <w:noWrap/>
            <w:vAlign w:val="center"/>
          </w:tcPr>
          <w:p w14:paraId="0678ABA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支持跨组织、跨部门或跨人员之间的资产调拨，调拨审批结束后，系统自动更新资产的位置信息和责任人信息，并关联至资产卡片。在调拨审批中，关联系申请人现有资产信息，确保调拨的合理性和合规性。</w:t>
            </w:r>
          </w:p>
        </w:tc>
      </w:tr>
      <w:tr w14:paraId="3D334670">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1D4DA5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78</w:t>
            </w:r>
          </w:p>
        </w:tc>
        <w:tc>
          <w:tcPr>
            <w:tcW w:w="535" w:type="dxa"/>
            <w:vMerge w:val="continue"/>
            <w:tcBorders>
              <w:top w:val="nil"/>
              <w:left w:val="single" w:color="auto" w:sz="4" w:space="0"/>
              <w:bottom w:val="single" w:color="auto" w:sz="4" w:space="0"/>
              <w:right w:val="single" w:color="auto" w:sz="4" w:space="0"/>
            </w:tcBorders>
            <w:vAlign w:val="center"/>
          </w:tcPr>
          <w:p w14:paraId="3A100A19">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45EBC92E">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7D8320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资产借还</w:t>
            </w:r>
          </w:p>
        </w:tc>
        <w:tc>
          <w:tcPr>
            <w:tcW w:w="6224" w:type="dxa"/>
            <w:tcBorders>
              <w:top w:val="nil"/>
              <w:left w:val="nil"/>
              <w:bottom w:val="single" w:color="auto" w:sz="4" w:space="0"/>
              <w:right w:val="single" w:color="auto" w:sz="4" w:space="0"/>
            </w:tcBorders>
            <w:shd w:val="clear" w:color="auto" w:fill="auto"/>
            <w:noWrap/>
            <w:vAlign w:val="center"/>
          </w:tcPr>
          <w:p w14:paraId="2C166A2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在库资产可以被临时借用，通过借用申请中描述用途、预计归还日期等信息，审批通过后，系统自动生成领用单并更新资产库存信息，同时记录借用人的信息关联至资产卡片。并且支持到归还期自动提醒。在资产使用完毕后，通过系统提交归还申请，支持按借用单归还。系统自动检查归还资产的完整性和状态，并更新库存信息。归还记录与资产卡片自动关联，以便于后续的查询和审计。</w:t>
            </w:r>
          </w:p>
        </w:tc>
      </w:tr>
      <w:tr w14:paraId="219E953A">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0F4448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79</w:t>
            </w:r>
          </w:p>
        </w:tc>
        <w:tc>
          <w:tcPr>
            <w:tcW w:w="535" w:type="dxa"/>
            <w:vMerge w:val="continue"/>
            <w:tcBorders>
              <w:top w:val="nil"/>
              <w:left w:val="single" w:color="auto" w:sz="4" w:space="0"/>
              <w:bottom w:val="single" w:color="auto" w:sz="4" w:space="0"/>
              <w:right w:val="single" w:color="auto" w:sz="4" w:space="0"/>
            </w:tcBorders>
            <w:vAlign w:val="center"/>
          </w:tcPr>
          <w:p w14:paraId="1682626D">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43F0C62A">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487BBC1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资产变更</w:t>
            </w:r>
          </w:p>
        </w:tc>
        <w:tc>
          <w:tcPr>
            <w:tcW w:w="6224" w:type="dxa"/>
            <w:tcBorders>
              <w:top w:val="nil"/>
              <w:left w:val="nil"/>
              <w:bottom w:val="single" w:color="auto" w:sz="4" w:space="0"/>
              <w:right w:val="single" w:color="auto" w:sz="4" w:space="0"/>
            </w:tcBorders>
            <w:shd w:val="clear" w:color="auto" w:fill="auto"/>
            <w:noWrap/>
            <w:vAlign w:val="center"/>
          </w:tcPr>
          <w:p w14:paraId="1BC1E1A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赋予权限的资产管理人员，可以通过该功能实现资产使用状态的快速批量调整，使用状态变更信息自动与资产卡片关联。</w:t>
            </w:r>
          </w:p>
        </w:tc>
      </w:tr>
      <w:tr w14:paraId="1331C15C">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EBF9FC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80</w:t>
            </w:r>
          </w:p>
        </w:tc>
        <w:tc>
          <w:tcPr>
            <w:tcW w:w="535" w:type="dxa"/>
            <w:vMerge w:val="continue"/>
            <w:tcBorders>
              <w:top w:val="nil"/>
              <w:left w:val="single" w:color="auto" w:sz="4" w:space="0"/>
              <w:bottom w:val="single" w:color="auto" w:sz="4" w:space="0"/>
              <w:right w:val="single" w:color="auto" w:sz="4" w:space="0"/>
            </w:tcBorders>
            <w:vAlign w:val="center"/>
          </w:tcPr>
          <w:p w14:paraId="4AAB8190">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243C51E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资产盘点</w:t>
            </w:r>
          </w:p>
        </w:tc>
        <w:tc>
          <w:tcPr>
            <w:tcW w:w="535" w:type="dxa"/>
            <w:tcBorders>
              <w:top w:val="nil"/>
              <w:left w:val="nil"/>
              <w:bottom w:val="single" w:color="auto" w:sz="4" w:space="0"/>
              <w:right w:val="single" w:color="auto" w:sz="4" w:space="0"/>
            </w:tcBorders>
            <w:shd w:val="clear" w:color="auto" w:fill="auto"/>
            <w:vAlign w:val="center"/>
          </w:tcPr>
          <w:p w14:paraId="0579E7F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盘点计划管理</w:t>
            </w:r>
          </w:p>
        </w:tc>
        <w:tc>
          <w:tcPr>
            <w:tcW w:w="6224" w:type="dxa"/>
            <w:tcBorders>
              <w:top w:val="nil"/>
              <w:left w:val="nil"/>
              <w:bottom w:val="single" w:color="auto" w:sz="4" w:space="0"/>
              <w:right w:val="single" w:color="auto" w:sz="4" w:space="0"/>
            </w:tcBorders>
            <w:shd w:val="clear" w:color="auto" w:fill="auto"/>
            <w:noWrap/>
            <w:vAlign w:val="center"/>
          </w:tcPr>
          <w:p w14:paraId="5D9C3CF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资产管理员可以制定盘点计划以及发布清查工作任务，各部门进行清查工作，同时资产管理员可以根据实时监管清查进度。</w:t>
            </w:r>
          </w:p>
        </w:tc>
      </w:tr>
      <w:tr w14:paraId="68E3097C">
        <w:tblPrEx>
          <w:tblCellMar>
            <w:top w:w="0" w:type="dxa"/>
            <w:left w:w="108" w:type="dxa"/>
            <w:bottom w:w="0" w:type="dxa"/>
            <w:right w:w="108" w:type="dxa"/>
          </w:tblCellMar>
        </w:tblPrEx>
        <w:trPr>
          <w:trHeight w:val="156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D161FA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81</w:t>
            </w:r>
          </w:p>
        </w:tc>
        <w:tc>
          <w:tcPr>
            <w:tcW w:w="535" w:type="dxa"/>
            <w:vMerge w:val="continue"/>
            <w:tcBorders>
              <w:top w:val="nil"/>
              <w:left w:val="single" w:color="auto" w:sz="4" w:space="0"/>
              <w:bottom w:val="single" w:color="auto" w:sz="4" w:space="0"/>
              <w:right w:val="single" w:color="auto" w:sz="4" w:space="0"/>
            </w:tcBorders>
            <w:vAlign w:val="center"/>
          </w:tcPr>
          <w:p w14:paraId="7E13203E">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77A3114B">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8B53EF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盘点人管理</w:t>
            </w:r>
          </w:p>
        </w:tc>
        <w:tc>
          <w:tcPr>
            <w:tcW w:w="6224" w:type="dxa"/>
            <w:tcBorders>
              <w:top w:val="nil"/>
              <w:left w:val="nil"/>
              <w:bottom w:val="single" w:color="auto" w:sz="4" w:space="0"/>
              <w:right w:val="single" w:color="auto" w:sz="4" w:space="0"/>
            </w:tcBorders>
            <w:shd w:val="clear" w:color="auto" w:fill="auto"/>
            <w:noWrap/>
            <w:vAlign w:val="center"/>
          </w:tcPr>
          <w:p w14:paraId="12DE871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向相关部门和人员发送盘点任务，明确盘点的重要性和具体要求。并且自动关联盘点流程操作说明、工具使用方法和注意事项。</w:t>
            </w:r>
          </w:p>
        </w:tc>
      </w:tr>
      <w:tr w14:paraId="2283E8BD">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2E293B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82</w:t>
            </w:r>
          </w:p>
        </w:tc>
        <w:tc>
          <w:tcPr>
            <w:tcW w:w="535" w:type="dxa"/>
            <w:vMerge w:val="continue"/>
            <w:tcBorders>
              <w:top w:val="nil"/>
              <w:left w:val="single" w:color="auto" w:sz="4" w:space="0"/>
              <w:bottom w:val="single" w:color="auto" w:sz="4" w:space="0"/>
              <w:right w:val="single" w:color="auto" w:sz="4" w:space="0"/>
            </w:tcBorders>
            <w:vAlign w:val="center"/>
          </w:tcPr>
          <w:p w14:paraId="1B2DEEFA">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54EFFF7B">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521846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快速盘点</w:t>
            </w:r>
          </w:p>
        </w:tc>
        <w:tc>
          <w:tcPr>
            <w:tcW w:w="6224" w:type="dxa"/>
            <w:tcBorders>
              <w:top w:val="nil"/>
              <w:left w:val="nil"/>
              <w:bottom w:val="single" w:color="auto" w:sz="4" w:space="0"/>
              <w:right w:val="single" w:color="auto" w:sz="4" w:space="0"/>
            </w:tcBorders>
            <w:shd w:val="clear" w:color="auto" w:fill="auto"/>
            <w:noWrap/>
            <w:vAlign w:val="center"/>
          </w:tcPr>
          <w:p w14:paraId="4F73584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向相关部门和人员发送盘点任务，明确盘点的重要性和具体要求。并且自动关联盘点流程操作说明、工具使用方法和注意事项。通过固定RFID智能终端一键盘点，支持跨地域、多分支机构的远程盘点。</w:t>
            </w:r>
          </w:p>
        </w:tc>
      </w:tr>
      <w:tr w14:paraId="0C151A07">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BB6DDC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83</w:t>
            </w:r>
          </w:p>
        </w:tc>
        <w:tc>
          <w:tcPr>
            <w:tcW w:w="535" w:type="dxa"/>
            <w:vMerge w:val="continue"/>
            <w:tcBorders>
              <w:top w:val="nil"/>
              <w:left w:val="single" w:color="auto" w:sz="4" w:space="0"/>
              <w:bottom w:val="single" w:color="auto" w:sz="4" w:space="0"/>
              <w:right w:val="single" w:color="auto" w:sz="4" w:space="0"/>
            </w:tcBorders>
            <w:vAlign w:val="center"/>
          </w:tcPr>
          <w:p w14:paraId="458F5FBD">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192AFC3F">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D80D6E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盘点数据同步</w:t>
            </w:r>
          </w:p>
        </w:tc>
        <w:tc>
          <w:tcPr>
            <w:tcW w:w="6224" w:type="dxa"/>
            <w:tcBorders>
              <w:top w:val="nil"/>
              <w:left w:val="nil"/>
              <w:bottom w:val="single" w:color="auto" w:sz="4" w:space="0"/>
              <w:right w:val="single" w:color="auto" w:sz="4" w:space="0"/>
            </w:tcBorders>
            <w:shd w:val="clear" w:color="auto" w:fill="auto"/>
            <w:noWrap/>
            <w:vAlign w:val="center"/>
          </w:tcPr>
          <w:p w14:paraId="3492FE6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将盘点结果实时录入系统，或通过扫描等方式自动导入数据。同时校验录入数据的完整性和准确性，可以及时修正错误。</w:t>
            </w:r>
          </w:p>
        </w:tc>
      </w:tr>
      <w:tr w14:paraId="6120B02F">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F35319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84</w:t>
            </w:r>
          </w:p>
        </w:tc>
        <w:tc>
          <w:tcPr>
            <w:tcW w:w="535" w:type="dxa"/>
            <w:vMerge w:val="continue"/>
            <w:tcBorders>
              <w:top w:val="nil"/>
              <w:left w:val="single" w:color="auto" w:sz="4" w:space="0"/>
              <w:bottom w:val="single" w:color="auto" w:sz="4" w:space="0"/>
              <w:right w:val="single" w:color="auto" w:sz="4" w:space="0"/>
            </w:tcBorders>
            <w:vAlign w:val="center"/>
          </w:tcPr>
          <w:p w14:paraId="335A0D87">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6934A795">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E1566C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资产清查</w:t>
            </w:r>
          </w:p>
        </w:tc>
        <w:tc>
          <w:tcPr>
            <w:tcW w:w="6224" w:type="dxa"/>
            <w:tcBorders>
              <w:top w:val="nil"/>
              <w:left w:val="nil"/>
              <w:bottom w:val="single" w:color="auto" w:sz="4" w:space="0"/>
              <w:right w:val="single" w:color="auto" w:sz="4" w:space="0"/>
            </w:tcBorders>
            <w:shd w:val="clear" w:color="auto" w:fill="auto"/>
            <w:noWrap/>
            <w:vAlign w:val="center"/>
          </w:tcPr>
          <w:p w14:paraId="3BF22DF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设定自查及下属单位的资产数据申报，实现对特定单位、特定使用人、特定地点、特定类别的资产清查盘点，使用人或当事人可以进行固定资产清查和数据上报。并实施统计清查结果，分析各部门的清查情况，实现对账面数、盘亏数、盘盈数的统计分析，识别差异并标记原因（如丢失、损坏、未记录等）。支持根据预制</w:t>
            </w:r>
            <w:r>
              <w:rPr>
                <w:rFonts w:hint="eastAsia" w:ascii="宋体" w:hAnsi="宋体" w:eastAsia="宋体" w:cs="宋体"/>
                <w:color w:val="000000"/>
                <w:kern w:val="0"/>
                <w:szCs w:val="21"/>
                <w:lang w:eastAsia="zh-CN"/>
                <w14:ligatures w14:val="none"/>
              </w:rPr>
              <w:t>模板</w:t>
            </w:r>
            <w:r>
              <w:rPr>
                <w:rFonts w:hint="eastAsia" w:ascii="宋体" w:hAnsi="宋体" w:eastAsia="宋体" w:cs="宋体"/>
                <w:color w:val="000000"/>
                <w:kern w:val="0"/>
                <w:szCs w:val="21"/>
                <w14:ligatures w14:val="none"/>
              </w:rPr>
              <w:t>生成盘点报告。</w:t>
            </w:r>
          </w:p>
        </w:tc>
      </w:tr>
      <w:tr w14:paraId="5E06E242">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98F527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85</w:t>
            </w:r>
          </w:p>
        </w:tc>
        <w:tc>
          <w:tcPr>
            <w:tcW w:w="535" w:type="dxa"/>
            <w:vMerge w:val="continue"/>
            <w:tcBorders>
              <w:top w:val="nil"/>
              <w:left w:val="single" w:color="auto" w:sz="4" w:space="0"/>
              <w:bottom w:val="single" w:color="auto" w:sz="4" w:space="0"/>
              <w:right w:val="single" w:color="auto" w:sz="4" w:space="0"/>
            </w:tcBorders>
            <w:vAlign w:val="center"/>
          </w:tcPr>
          <w:p w14:paraId="62B0FBD3">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01E981D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73071D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盘点明细</w:t>
            </w:r>
          </w:p>
        </w:tc>
        <w:tc>
          <w:tcPr>
            <w:tcW w:w="6224" w:type="dxa"/>
            <w:tcBorders>
              <w:top w:val="nil"/>
              <w:left w:val="nil"/>
              <w:bottom w:val="single" w:color="auto" w:sz="4" w:space="0"/>
              <w:right w:val="single" w:color="auto" w:sz="4" w:space="0"/>
            </w:tcBorders>
            <w:shd w:val="clear" w:color="auto" w:fill="auto"/>
            <w:noWrap/>
            <w:vAlign w:val="center"/>
          </w:tcPr>
          <w:p w14:paraId="3F75BA1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资产清查完成后，系统会生成清查结果的资产盘亏明细表、盘盈明细表、正常资产明细表、全部资产明细表，管理人员可以根据资产盘点明细表的信息来调整资产信息，实现资产的账实相符。</w:t>
            </w:r>
          </w:p>
        </w:tc>
      </w:tr>
      <w:tr w14:paraId="056A4328">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25C1A1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86</w:t>
            </w:r>
          </w:p>
        </w:tc>
        <w:tc>
          <w:tcPr>
            <w:tcW w:w="535" w:type="dxa"/>
            <w:vMerge w:val="continue"/>
            <w:tcBorders>
              <w:top w:val="nil"/>
              <w:left w:val="single" w:color="auto" w:sz="4" w:space="0"/>
              <w:bottom w:val="single" w:color="auto" w:sz="4" w:space="0"/>
              <w:right w:val="single" w:color="auto" w:sz="4" w:space="0"/>
            </w:tcBorders>
            <w:vAlign w:val="center"/>
          </w:tcPr>
          <w:p w14:paraId="7291F302">
            <w:pPr>
              <w:widowControl/>
              <w:jc w:val="left"/>
              <w:rPr>
                <w:rFonts w:ascii="宋体" w:hAnsi="宋体" w:eastAsia="宋体" w:cs="宋体"/>
                <w:color w:val="000000"/>
                <w:kern w:val="0"/>
                <w:szCs w:val="21"/>
                <w14:ligatures w14:val="none"/>
              </w:rPr>
            </w:pPr>
          </w:p>
        </w:tc>
        <w:tc>
          <w:tcPr>
            <w:tcW w:w="535" w:type="dxa"/>
            <w:tcBorders>
              <w:top w:val="nil"/>
              <w:left w:val="nil"/>
              <w:bottom w:val="nil"/>
              <w:right w:val="single" w:color="auto" w:sz="4" w:space="0"/>
            </w:tcBorders>
            <w:shd w:val="clear" w:color="auto" w:fill="auto"/>
            <w:vAlign w:val="center"/>
          </w:tcPr>
          <w:p w14:paraId="7A3B000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资产维护</w:t>
            </w:r>
          </w:p>
        </w:tc>
        <w:tc>
          <w:tcPr>
            <w:tcW w:w="535" w:type="dxa"/>
            <w:tcBorders>
              <w:top w:val="nil"/>
              <w:left w:val="nil"/>
              <w:bottom w:val="single" w:color="auto" w:sz="4" w:space="0"/>
              <w:right w:val="single" w:color="auto" w:sz="4" w:space="0"/>
            </w:tcBorders>
            <w:shd w:val="clear" w:color="auto" w:fill="auto"/>
            <w:vAlign w:val="center"/>
          </w:tcPr>
          <w:p w14:paraId="3A47E37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维修记录统计</w:t>
            </w:r>
          </w:p>
        </w:tc>
        <w:tc>
          <w:tcPr>
            <w:tcW w:w="6224" w:type="dxa"/>
            <w:tcBorders>
              <w:top w:val="nil"/>
              <w:left w:val="nil"/>
              <w:bottom w:val="single" w:color="auto" w:sz="4" w:space="0"/>
              <w:right w:val="single" w:color="auto" w:sz="4" w:space="0"/>
            </w:tcBorders>
            <w:shd w:val="clear" w:color="auto" w:fill="auto"/>
            <w:noWrap/>
            <w:vAlign w:val="center"/>
          </w:tcPr>
          <w:p w14:paraId="73D8E77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对经营性资产、常规办公资产和其他易耗资产的维修进行维修数据登记，实现资产库存数据中对应编号的资产状态更新和维修记录生成。可按资产编号、资产类别、资产名称、领用人等相关信息进行查询。</w:t>
            </w:r>
          </w:p>
        </w:tc>
      </w:tr>
      <w:tr w14:paraId="102450F6">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B474C2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87</w:t>
            </w:r>
          </w:p>
        </w:tc>
        <w:tc>
          <w:tcPr>
            <w:tcW w:w="535" w:type="dxa"/>
            <w:vMerge w:val="continue"/>
            <w:tcBorders>
              <w:top w:val="nil"/>
              <w:left w:val="single" w:color="auto" w:sz="4" w:space="0"/>
              <w:bottom w:val="single" w:color="auto" w:sz="4" w:space="0"/>
              <w:right w:val="single" w:color="auto" w:sz="4" w:space="0"/>
            </w:tcBorders>
            <w:vAlign w:val="center"/>
          </w:tcPr>
          <w:p w14:paraId="796007A2">
            <w:pPr>
              <w:widowControl/>
              <w:jc w:val="left"/>
              <w:rPr>
                <w:rFonts w:ascii="宋体" w:hAnsi="宋体" w:eastAsia="宋体" w:cs="宋体"/>
                <w:color w:val="000000"/>
                <w:kern w:val="0"/>
                <w:szCs w:val="21"/>
                <w14:ligatures w14:val="none"/>
              </w:rPr>
            </w:pPr>
          </w:p>
        </w:tc>
        <w:tc>
          <w:tcPr>
            <w:tcW w:w="535"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268E193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资产处置</w:t>
            </w:r>
          </w:p>
        </w:tc>
        <w:tc>
          <w:tcPr>
            <w:tcW w:w="535" w:type="dxa"/>
            <w:tcBorders>
              <w:top w:val="nil"/>
              <w:left w:val="nil"/>
              <w:bottom w:val="single" w:color="auto" w:sz="4" w:space="0"/>
              <w:right w:val="single" w:color="auto" w:sz="4" w:space="0"/>
            </w:tcBorders>
            <w:shd w:val="clear" w:color="auto" w:fill="auto"/>
            <w:vAlign w:val="center"/>
          </w:tcPr>
          <w:p w14:paraId="1053E4D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处置申请</w:t>
            </w:r>
          </w:p>
        </w:tc>
        <w:tc>
          <w:tcPr>
            <w:tcW w:w="6224" w:type="dxa"/>
            <w:tcBorders>
              <w:top w:val="nil"/>
              <w:left w:val="nil"/>
              <w:bottom w:val="single" w:color="auto" w:sz="4" w:space="0"/>
              <w:right w:val="single" w:color="auto" w:sz="4" w:space="0"/>
            </w:tcBorders>
            <w:shd w:val="clear" w:color="auto" w:fill="auto"/>
            <w:noWrap/>
            <w:vAlign w:val="center"/>
          </w:tcPr>
          <w:p w14:paraId="5D2F7FD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多种资产处置方式，如调拨、变卖、报损、报废、报废、捐赠、置换以及将非经营性资产转为经营性资产等。组织可以根据实际情况选择合适的处置方式。每种处置方式都设定了标准化的流程，确保资产处置过程的规范化和透明度；处置结束后，自动更新库存系统中的资产信息，确保库存数据的准确性。</w:t>
            </w:r>
          </w:p>
        </w:tc>
      </w:tr>
      <w:tr w14:paraId="5CC8503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26674C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88</w:t>
            </w:r>
          </w:p>
        </w:tc>
        <w:tc>
          <w:tcPr>
            <w:tcW w:w="535" w:type="dxa"/>
            <w:vMerge w:val="continue"/>
            <w:tcBorders>
              <w:top w:val="nil"/>
              <w:left w:val="single" w:color="auto" w:sz="4" w:space="0"/>
              <w:bottom w:val="single" w:color="auto" w:sz="4" w:space="0"/>
              <w:right w:val="single" w:color="auto" w:sz="4" w:space="0"/>
            </w:tcBorders>
            <w:vAlign w:val="center"/>
          </w:tcPr>
          <w:p w14:paraId="5BB10943">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07BDBDBE">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B55B52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处置报告</w:t>
            </w:r>
          </w:p>
        </w:tc>
        <w:tc>
          <w:tcPr>
            <w:tcW w:w="6224" w:type="dxa"/>
            <w:tcBorders>
              <w:top w:val="nil"/>
              <w:left w:val="nil"/>
              <w:bottom w:val="single" w:color="auto" w:sz="4" w:space="0"/>
              <w:right w:val="single" w:color="auto" w:sz="4" w:space="0"/>
            </w:tcBorders>
            <w:shd w:val="clear" w:color="auto" w:fill="auto"/>
            <w:noWrap/>
            <w:vAlign w:val="center"/>
          </w:tcPr>
          <w:p w14:paraId="7EF95B9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自动生成资产处置报告，包括处置方式、处置价格、处置收益等详细信息，便于组织向相关部门或股东报告。并且提供完整的处置记录、审批流程、报废证明、出售合同等文件存档，支持内外部审计。</w:t>
            </w:r>
          </w:p>
        </w:tc>
      </w:tr>
      <w:tr w14:paraId="0F2F31BD">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69CD82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89</w:t>
            </w:r>
          </w:p>
        </w:tc>
        <w:tc>
          <w:tcPr>
            <w:tcW w:w="535" w:type="dxa"/>
            <w:vMerge w:val="continue"/>
            <w:tcBorders>
              <w:top w:val="nil"/>
              <w:left w:val="single" w:color="auto" w:sz="4" w:space="0"/>
              <w:bottom w:val="single" w:color="auto" w:sz="4" w:space="0"/>
              <w:right w:val="single" w:color="auto" w:sz="4" w:space="0"/>
            </w:tcBorders>
            <w:vAlign w:val="center"/>
          </w:tcPr>
          <w:p w14:paraId="160A1692">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single" w:color="000000" w:sz="4" w:space="0"/>
              <w:right w:val="single" w:color="auto" w:sz="4" w:space="0"/>
            </w:tcBorders>
            <w:vAlign w:val="center"/>
          </w:tcPr>
          <w:p w14:paraId="4AC0909F">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5F1BB5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处置报表</w:t>
            </w:r>
          </w:p>
        </w:tc>
        <w:tc>
          <w:tcPr>
            <w:tcW w:w="6224" w:type="dxa"/>
            <w:tcBorders>
              <w:top w:val="nil"/>
              <w:left w:val="nil"/>
              <w:bottom w:val="single" w:color="auto" w:sz="4" w:space="0"/>
              <w:right w:val="single" w:color="auto" w:sz="4" w:space="0"/>
            </w:tcBorders>
            <w:shd w:val="clear" w:color="auto" w:fill="auto"/>
            <w:noWrap/>
            <w:vAlign w:val="center"/>
          </w:tcPr>
          <w:p w14:paraId="30D7582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对资产处置的结果进行分析统计，收益、成本、损失等财务数据，提供优化资产管理的决策建议，为组织资产管理提供决策支持。</w:t>
            </w:r>
          </w:p>
        </w:tc>
      </w:tr>
      <w:tr w14:paraId="647A1F63">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5F7E51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90</w:t>
            </w:r>
          </w:p>
        </w:tc>
        <w:tc>
          <w:tcPr>
            <w:tcW w:w="535" w:type="dxa"/>
            <w:vMerge w:val="continue"/>
            <w:tcBorders>
              <w:top w:val="nil"/>
              <w:left w:val="single" w:color="auto" w:sz="4" w:space="0"/>
              <w:bottom w:val="single" w:color="auto" w:sz="4" w:space="0"/>
              <w:right w:val="single" w:color="auto" w:sz="4" w:space="0"/>
            </w:tcBorders>
            <w:vAlign w:val="center"/>
          </w:tcPr>
          <w:p w14:paraId="5FF722EC">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29DBD70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资产报表</w:t>
            </w:r>
          </w:p>
        </w:tc>
        <w:tc>
          <w:tcPr>
            <w:tcW w:w="535" w:type="dxa"/>
            <w:tcBorders>
              <w:top w:val="nil"/>
              <w:left w:val="nil"/>
              <w:bottom w:val="single" w:color="auto" w:sz="4" w:space="0"/>
              <w:right w:val="single" w:color="auto" w:sz="4" w:space="0"/>
            </w:tcBorders>
            <w:shd w:val="clear" w:color="auto" w:fill="auto"/>
            <w:vAlign w:val="center"/>
          </w:tcPr>
          <w:p w14:paraId="2272378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资产清单</w:t>
            </w:r>
          </w:p>
        </w:tc>
        <w:tc>
          <w:tcPr>
            <w:tcW w:w="6224" w:type="dxa"/>
            <w:tcBorders>
              <w:top w:val="nil"/>
              <w:left w:val="nil"/>
              <w:bottom w:val="single" w:color="auto" w:sz="4" w:space="0"/>
              <w:right w:val="single" w:color="auto" w:sz="4" w:space="0"/>
            </w:tcBorders>
            <w:shd w:val="clear" w:color="auto" w:fill="auto"/>
            <w:noWrap/>
            <w:vAlign w:val="center"/>
          </w:tcPr>
          <w:p w14:paraId="481F30C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详细列出组织所有资产的清单，包括资产类型、资产条码、资产名称、编号、购置日期、规格型号、使用部门、存储地点、资产状态等基本信息。</w:t>
            </w:r>
          </w:p>
        </w:tc>
      </w:tr>
      <w:tr w14:paraId="78A87113">
        <w:tblPrEx>
          <w:tblCellMar>
            <w:top w:w="0" w:type="dxa"/>
            <w:left w:w="108" w:type="dxa"/>
            <w:bottom w:w="0" w:type="dxa"/>
            <w:right w:w="108" w:type="dxa"/>
          </w:tblCellMar>
        </w:tblPrEx>
        <w:trPr>
          <w:trHeight w:val="156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BB8C49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91</w:t>
            </w:r>
          </w:p>
        </w:tc>
        <w:tc>
          <w:tcPr>
            <w:tcW w:w="535" w:type="dxa"/>
            <w:vMerge w:val="continue"/>
            <w:tcBorders>
              <w:top w:val="nil"/>
              <w:left w:val="single" w:color="auto" w:sz="4" w:space="0"/>
              <w:bottom w:val="single" w:color="auto" w:sz="4" w:space="0"/>
              <w:right w:val="single" w:color="auto" w:sz="4" w:space="0"/>
            </w:tcBorders>
            <w:vAlign w:val="center"/>
          </w:tcPr>
          <w:p w14:paraId="4E5365CB">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5BF3824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56914E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自定义报表</w:t>
            </w:r>
          </w:p>
        </w:tc>
        <w:tc>
          <w:tcPr>
            <w:tcW w:w="6224" w:type="dxa"/>
            <w:tcBorders>
              <w:top w:val="nil"/>
              <w:left w:val="nil"/>
              <w:bottom w:val="single" w:color="auto" w:sz="4" w:space="0"/>
              <w:right w:val="single" w:color="auto" w:sz="4" w:space="0"/>
            </w:tcBorders>
            <w:shd w:val="clear" w:color="auto" w:fill="auto"/>
            <w:noWrap/>
            <w:vAlign w:val="center"/>
          </w:tcPr>
          <w:p w14:paraId="2DCFF47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支持不同业务场景和多维度的统计分析报表，例如按照公司部门、资产分类，使用情况、维修、保养、巡检等，灵活查询，数据结果支持Excel导出、打印等输出功能，助力组织多角度数据决策。</w:t>
            </w:r>
          </w:p>
        </w:tc>
      </w:tr>
      <w:tr w14:paraId="3A490E12">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2FEA81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92</w:t>
            </w:r>
          </w:p>
        </w:tc>
        <w:tc>
          <w:tcPr>
            <w:tcW w:w="535" w:type="dxa"/>
            <w:vMerge w:val="continue"/>
            <w:tcBorders>
              <w:top w:val="nil"/>
              <w:left w:val="single" w:color="auto" w:sz="4" w:space="0"/>
              <w:bottom w:val="single" w:color="auto" w:sz="4" w:space="0"/>
              <w:right w:val="single" w:color="auto" w:sz="4" w:space="0"/>
            </w:tcBorders>
            <w:vAlign w:val="center"/>
          </w:tcPr>
          <w:p w14:paraId="036B913E">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nil"/>
              <w:right w:val="single" w:color="auto" w:sz="4" w:space="0"/>
            </w:tcBorders>
            <w:shd w:val="clear" w:color="auto" w:fill="auto"/>
            <w:vAlign w:val="center"/>
          </w:tcPr>
          <w:p w14:paraId="50C4EE6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载体资产经营</w:t>
            </w:r>
          </w:p>
        </w:tc>
        <w:tc>
          <w:tcPr>
            <w:tcW w:w="535" w:type="dxa"/>
            <w:tcBorders>
              <w:top w:val="nil"/>
              <w:left w:val="nil"/>
              <w:bottom w:val="single" w:color="auto" w:sz="4" w:space="0"/>
              <w:right w:val="single" w:color="auto" w:sz="4" w:space="0"/>
            </w:tcBorders>
            <w:shd w:val="clear" w:color="auto" w:fill="auto"/>
            <w:vAlign w:val="center"/>
          </w:tcPr>
          <w:p w14:paraId="503D384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载体信息管理</w:t>
            </w:r>
          </w:p>
        </w:tc>
        <w:tc>
          <w:tcPr>
            <w:tcW w:w="6224" w:type="dxa"/>
            <w:tcBorders>
              <w:top w:val="nil"/>
              <w:left w:val="nil"/>
              <w:bottom w:val="single" w:color="auto" w:sz="4" w:space="0"/>
              <w:right w:val="single" w:color="auto" w:sz="4" w:space="0"/>
            </w:tcBorders>
            <w:shd w:val="clear" w:color="auto" w:fill="auto"/>
            <w:noWrap/>
            <w:vAlign w:val="center"/>
          </w:tcPr>
          <w:p w14:paraId="225AB73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以卡片形式呈现集团全部载体资产，用户可通过新增对载体名称、面积、地址、楼层数量、运营方信息、产权方信息、物业方信息、管理员、相关证书图片信息进行管理，可以通过载体平面图上传对相关载体空间进行平面位置标绘。可对载体内的房间进行状态标记、房间信息导出、车位信息（所属载体、车位状态、租赁价格等）增删改查。</w:t>
            </w:r>
          </w:p>
        </w:tc>
      </w:tr>
      <w:tr w14:paraId="6CC4966A">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DA4DD9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93</w:t>
            </w:r>
          </w:p>
        </w:tc>
        <w:tc>
          <w:tcPr>
            <w:tcW w:w="535" w:type="dxa"/>
            <w:vMerge w:val="continue"/>
            <w:tcBorders>
              <w:top w:val="nil"/>
              <w:left w:val="single" w:color="auto" w:sz="4" w:space="0"/>
              <w:bottom w:val="single" w:color="auto" w:sz="4" w:space="0"/>
              <w:right w:val="single" w:color="auto" w:sz="4" w:space="0"/>
            </w:tcBorders>
            <w:vAlign w:val="center"/>
          </w:tcPr>
          <w:p w14:paraId="78BC7C2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50D2CCB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123A08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租户管理</w:t>
            </w:r>
          </w:p>
        </w:tc>
        <w:tc>
          <w:tcPr>
            <w:tcW w:w="6224" w:type="dxa"/>
            <w:tcBorders>
              <w:top w:val="nil"/>
              <w:left w:val="nil"/>
              <w:bottom w:val="single" w:color="auto" w:sz="4" w:space="0"/>
              <w:right w:val="single" w:color="auto" w:sz="4" w:space="0"/>
            </w:tcBorders>
            <w:shd w:val="clear" w:color="auto" w:fill="auto"/>
            <w:noWrap/>
            <w:vAlign w:val="center"/>
          </w:tcPr>
          <w:p w14:paraId="349AFC8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对租客的基本信息（类型、名称、统一信用代码、工商注册信息等）、融资信息、信贷信息等内容进行完整的录入和管理。</w:t>
            </w:r>
          </w:p>
        </w:tc>
      </w:tr>
      <w:tr w14:paraId="152A4DD7">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CF713C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94</w:t>
            </w:r>
          </w:p>
        </w:tc>
        <w:tc>
          <w:tcPr>
            <w:tcW w:w="535" w:type="dxa"/>
            <w:vMerge w:val="continue"/>
            <w:tcBorders>
              <w:top w:val="nil"/>
              <w:left w:val="single" w:color="auto" w:sz="4" w:space="0"/>
              <w:bottom w:val="single" w:color="auto" w:sz="4" w:space="0"/>
              <w:right w:val="single" w:color="auto" w:sz="4" w:space="0"/>
            </w:tcBorders>
            <w:vAlign w:val="center"/>
          </w:tcPr>
          <w:p w14:paraId="27263F61">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3B37D3E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4B1481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招商管理</w:t>
            </w:r>
          </w:p>
        </w:tc>
        <w:tc>
          <w:tcPr>
            <w:tcW w:w="6224" w:type="dxa"/>
            <w:tcBorders>
              <w:top w:val="nil"/>
              <w:left w:val="nil"/>
              <w:bottom w:val="single" w:color="auto" w:sz="4" w:space="0"/>
              <w:right w:val="single" w:color="auto" w:sz="4" w:space="0"/>
            </w:tcBorders>
            <w:shd w:val="clear" w:color="auto" w:fill="auto"/>
            <w:noWrap/>
            <w:vAlign w:val="center"/>
          </w:tcPr>
          <w:p w14:paraId="4D9C481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可对载体招商建设渠道资源库，做好渠道类型、名称、地址、联系人、联系方式、对接人、负责人等基本信息管理。可提供竞品库调研，实现对竞品楼宇、地址、楼宇情况等信息管理。可和商机系统中推荐的商机信息进行数据互通，实现对商机跟进转化，并进行项目信息列表管理。</w:t>
            </w:r>
          </w:p>
        </w:tc>
      </w:tr>
      <w:tr w14:paraId="6B0AD413">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A17BB6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95</w:t>
            </w:r>
          </w:p>
        </w:tc>
        <w:tc>
          <w:tcPr>
            <w:tcW w:w="535" w:type="dxa"/>
            <w:vMerge w:val="continue"/>
            <w:tcBorders>
              <w:top w:val="nil"/>
              <w:left w:val="single" w:color="auto" w:sz="4" w:space="0"/>
              <w:bottom w:val="single" w:color="auto" w:sz="4" w:space="0"/>
              <w:right w:val="single" w:color="auto" w:sz="4" w:space="0"/>
            </w:tcBorders>
            <w:vAlign w:val="center"/>
          </w:tcPr>
          <w:p w14:paraId="4197B1BE">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30BCE0DA">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68D19A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合同管理</w:t>
            </w:r>
          </w:p>
        </w:tc>
        <w:tc>
          <w:tcPr>
            <w:tcW w:w="6224" w:type="dxa"/>
            <w:tcBorders>
              <w:top w:val="nil"/>
              <w:left w:val="nil"/>
              <w:bottom w:val="single" w:color="auto" w:sz="4" w:space="0"/>
              <w:right w:val="single" w:color="auto" w:sz="4" w:space="0"/>
            </w:tcBorders>
            <w:shd w:val="clear" w:color="auto" w:fill="auto"/>
            <w:noWrap/>
            <w:vAlign w:val="center"/>
          </w:tcPr>
          <w:p w14:paraId="570D113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可对载体租赁合同进行管理，同步合同管理系统中的载体租赁合同数据，并对合同进行查看、续租、变更、退租等操作管理。</w:t>
            </w:r>
          </w:p>
        </w:tc>
      </w:tr>
      <w:tr w14:paraId="1C57048E">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24CCAC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96</w:t>
            </w:r>
          </w:p>
        </w:tc>
        <w:tc>
          <w:tcPr>
            <w:tcW w:w="535" w:type="dxa"/>
            <w:vMerge w:val="continue"/>
            <w:tcBorders>
              <w:top w:val="nil"/>
              <w:left w:val="single" w:color="auto" w:sz="4" w:space="0"/>
              <w:bottom w:val="single" w:color="auto" w:sz="4" w:space="0"/>
              <w:right w:val="single" w:color="auto" w:sz="4" w:space="0"/>
            </w:tcBorders>
            <w:vAlign w:val="center"/>
          </w:tcPr>
          <w:p w14:paraId="5C13AD77">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15480A40">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CB35A2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财务管理</w:t>
            </w:r>
          </w:p>
        </w:tc>
        <w:tc>
          <w:tcPr>
            <w:tcW w:w="6224" w:type="dxa"/>
            <w:tcBorders>
              <w:top w:val="nil"/>
              <w:left w:val="nil"/>
              <w:bottom w:val="single" w:color="auto" w:sz="4" w:space="0"/>
              <w:right w:val="single" w:color="auto" w:sz="4" w:space="0"/>
            </w:tcBorders>
            <w:shd w:val="clear" w:color="auto" w:fill="auto"/>
            <w:noWrap/>
            <w:vAlign w:val="center"/>
          </w:tcPr>
          <w:p w14:paraId="6622DB7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系统提供对载体运营管理中应收账单、款项回单、财务账单的应用管理。实现对载体用户的客户信息、</w:t>
            </w:r>
            <w:r>
              <w:rPr>
                <w:rFonts w:hint="eastAsia" w:ascii="宋体" w:hAnsi="宋体" w:eastAsia="宋体" w:cs="宋体"/>
                <w:color w:val="000000"/>
                <w:kern w:val="0"/>
                <w:szCs w:val="21"/>
                <w:lang w:eastAsia="zh-CN"/>
                <w14:ligatures w14:val="none"/>
              </w:rPr>
              <w:t>应收</w:t>
            </w:r>
            <w:r>
              <w:rPr>
                <w:rFonts w:hint="eastAsia" w:ascii="宋体" w:hAnsi="宋体" w:eastAsia="宋体" w:cs="宋体"/>
                <w:color w:val="000000"/>
                <w:kern w:val="0"/>
                <w:szCs w:val="21"/>
                <w14:ligatures w14:val="none"/>
              </w:rPr>
              <w:t>账款、合同编号、账单状态、应付时间等信息同步查询、导出、核验、台账形成。</w:t>
            </w:r>
          </w:p>
        </w:tc>
      </w:tr>
      <w:tr w14:paraId="7FAD821F">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BF08BB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97</w:t>
            </w:r>
          </w:p>
        </w:tc>
        <w:tc>
          <w:tcPr>
            <w:tcW w:w="535" w:type="dxa"/>
            <w:vMerge w:val="continue"/>
            <w:tcBorders>
              <w:top w:val="nil"/>
              <w:left w:val="single" w:color="auto" w:sz="4" w:space="0"/>
              <w:bottom w:val="single" w:color="auto" w:sz="4" w:space="0"/>
              <w:right w:val="single" w:color="auto" w:sz="4" w:space="0"/>
            </w:tcBorders>
            <w:vAlign w:val="center"/>
          </w:tcPr>
          <w:p w14:paraId="4B98B17D">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79D4C605">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5A1A8F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票务管理</w:t>
            </w:r>
          </w:p>
        </w:tc>
        <w:tc>
          <w:tcPr>
            <w:tcW w:w="6224" w:type="dxa"/>
            <w:tcBorders>
              <w:top w:val="nil"/>
              <w:left w:val="nil"/>
              <w:bottom w:val="single" w:color="auto" w:sz="4" w:space="0"/>
              <w:right w:val="single" w:color="auto" w:sz="4" w:space="0"/>
            </w:tcBorders>
            <w:shd w:val="clear" w:color="auto" w:fill="auto"/>
            <w:noWrap/>
            <w:vAlign w:val="center"/>
          </w:tcPr>
          <w:p w14:paraId="58DD4BE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提供载体运营管理中合同、账单、发票、相关方等信息和相关系统数据互通，便于数据管理查询。收到相关财务回单后，可在系统内生成收款收据并导出打印。</w:t>
            </w:r>
          </w:p>
        </w:tc>
      </w:tr>
      <w:tr w14:paraId="39BA41C0">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EEDF9F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98</w:t>
            </w:r>
          </w:p>
        </w:tc>
        <w:tc>
          <w:tcPr>
            <w:tcW w:w="535" w:type="dxa"/>
            <w:vMerge w:val="continue"/>
            <w:tcBorders>
              <w:top w:val="nil"/>
              <w:left w:val="single" w:color="auto" w:sz="4" w:space="0"/>
              <w:bottom w:val="single" w:color="auto" w:sz="4" w:space="0"/>
              <w:right w:val="single" w:color="auto" w:sz="4" w:space="0"/>
            </w:tcBorders>
            <w:vAlign w:val="center"/>
          </w:tcPr>
          <w:p w14:paraId="08F3D3BA">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50915FC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股权投资管理</w:t>
            </w:r>
          </w:p>
        </w:tc>
        <w:tc>
          <w:tcPr>
            <w:tcW w:w="535" w:type="dxa"/>
            <w:tcBorders>
              <w:top w:val="nil"/>
              <w:left w:val="nil"/>
              <w:bottom w:val="single" w:color="auto" w:sz="4" w:space="0"/>
              <w:right w:val="single" w:color="auto" w:sz="4" w:space="0"/>
            </w:tcBorders>
            <w:shd w:val="clear" w:color="auto" w:fill="auto"/>
            <w:vAlign w:val="center"/>
          </w:tcPr>
          <w:p w14:paraId="1F03E51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股权管理台账</w:t>
            </w:r>
          </w:p>
        </w:tc>
        <w:tc>
          <w:tcPr>
            <w:tcW w:w="6224" w:type="dxa"/>
            <w:tcBorders>
              <w:top w:val="nil"/>
              <w:left w:val="nil"/>
              <w:bottom w:val="single" w:color="auto" w:sz="4" w:space="0"/>
              <w:right w:val="single" w:color="auto" w:sz="4" w:space="0"/>
            </w:tcBorders>
            <w:shd w:val="clear" w:color="auto" w:fill="auto"/>
            <w:noWrap/>
            <w:vAlign w:val="center"/>
          </w:tcPr>
          <w:p w14:paraId="0B65621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通过对股权基本信息、投资信息、主要财务指标、股东投资收益、组织潜在损失、法人治理结构、重大事项、股权处置、组织工商信息佐证，形成股权档案卡片。</w:t>
            </w:r>
          </w:p>
        </w:tc>
      </w:tr>
      <w:tr w14:paraId="6A158950">
        <w:tblPrEx>
          <w:tblCellMar>
            <w:top w:w="0" w:type="dxa"/>
            <w:left w:w="108" w:type="dxa"/>
            <w:bottom w:w="0" w:type="dxa"/>
            <w:right w:w="108" w:type="dxa"/>
          </w:tblCellMar>
        </w:tblPrEx>
        <w:trPr>
          <w:trHeight w:val="249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73C05F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99</w:t>
            </w:r>
          </w:p>
        </w:tc>
        <w:tc>
          <w:tcPr>
            <w:tcW w:w="535" w:type="dxa"/>
            <w:vMerge w:val="continue"/>
            <w:tcBorders>
              <w:top w:val="nil"/>
              <w:left w:val="single" w:color="auto" w:sz="4" w:space="0"/>
              <w:bottom w:val="single" w:color="auto" w:sz="4" w:space="0"/>
              <w:right w:val="single" w:color="auto" w:sz="4" w:space="0"/>
            </w:tcBorders>
            <w:vAlign w:val="center"/>
          </w:tcPr>
          <w:p w14:paraId="78CBEFA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0D72F4F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5785EB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基金</w:t>
            </w:r>
            <w:r>
              <w:rPr>
                <w:rFonts w:hint="eastAsia" w:ascii="宋体" w:hAnsi="宋体" w:eastAsia="宋体" w:cs="宋体"/>
                <w:color w:val="000000"/>
                <w:kern w:val="0"/>
                <w:szCs w:val="21"/>
                <w:lang w:eastAsia="zh-CN"/>
                <w14:ligatures w14:val="none"/>
              </w:rPr>
              <w:t>投资</w:t>
            </w:r>
            <w:r>
              <w:rPr>
                <w:rFonts w:hint="eastAsia" w:ascii="宋体" w:hAnsi="宋体" w:eastAsia="宋体" w:cs="宋体"/>
                <w:color w:val="000000"/>
                <w:kern w:val="0"/>
                <w:szCs w:val="21"/>
                <w14:ligatures w14:val="none"/>
              </w:rPr>
              <w:t>项目信息</w:t>
            </w:r>
          </w:p>
        </w:tc>
        <w:tc>
          <w:tcPr>
            <w:tcW w:w="6224" w:type="dxa"/>
            <w:tcBorders>
              <w:top w:val="nil"/>
              <w:left w:val="nil"/>
              <w:bottom w:val="single" w:color="auto" w:sz="4" w:space="0"/>
              <w:right w:val="single" w:color="auto" w:sz="4" w:space="0"/>
            </w:tcBorders>
            <w:shd w:val="clear" w:color="auto" w:fill="auto"/>
            <w:noWrap/>
            <w:vAlign w:val="center"/>
          </w:tcPr>
          <w:p w14:paraId="0C6ADBB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通过对股权投资、定向增发等各类基金所投项目进行线上管理。形成基金投资项目档案，作为基金管理和对接基金所投项目的的项目管理建立业务关联，实现通过项目对基金的最新价值管理。</w:t>
            </w:r>
          </w:p>
        </w:tc>
      </w:tr>
      <w:tr w14:paraId="43E547A9">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7835B4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100</w:t>
            </w:r>
          </w:p>
        </w:tc>
        <w:tc>
          <w:tcPr>
            <w:tcW w:w="535" w:type="dxa"/>
            <w:vMerge w:val="continue"/>
            <w:tcBorders>
              <w:top w:val="nil"/>
              <w:left w:val="single" w:color="auto" w:sz="4" w:space="0"/>
              <w:bottom w:val="single" w:color="auto" w:sz="4" w:space="0"/>
              <w:right w:val="single" w:color="auto" w:sz="4" w:space="0"/>
            </w:tcBorders>
            <w:vAlign w:val="center"/>
          </w:tcPr>
          <w:p w14:paraId="1B08E209">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1E48A69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D39C10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股权报表</w:t>
            </w:r>
          </w:p>
        </w:tc>
        <w:tc>
          <w:tcPr>
            <w:tcW w:w="6224" w:type="dxa"/>
            <w:tcBorders>
              <w:top w:val="nil"/>
              <w:left w:val="nil"/>
              <w:bottom w:val="single" w:color="auto" w:sz="4" w:space="0"/>
              <w:right w:val="single" w:color="auto" w:sz="4" w:space="0"/>
            </w:tcBorders>
            <w:shd w:val="clear" w:color="auto" w:fill="auto"/>
            <w:noWrap/>
            <w:vAlign w:val="center"/>
          </w:tcPr>
          <w:p w14:paraId="34D5C59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股权数据总览（股权数、财务并表组织、全资控股组织、参股组织、基金、基金所投项目）、产权层级、管理层级、组织板块、组织形式，通过图表形式作为栏目进行展示，方便决策支撑。</w:t>
            </w:r>
          </w:p>
        </w:tc>
      </w:tr>
      <w:tr w14:paraId="2D646DC6">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D5087C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101</w:t>
            </w:r>
          </w:p>
        </w:tc>
        <w:tc>
          <w:tcPr>
            <w:tcW w:w="1605" w:type="dxa"/>
            <w:gridSpan w:val="3"/>
            <w:tcBorders>
              <w:top w:val="single" w:color="auto" w:sz="4" w:space="0"/>
              <w:left w:val="nil"/>
              <w:bottom w:val="single" w:color="auto" w:sz="4" w:space="0"/>
              <w:right w:val="single" w:color="000000" w:sz="4" w:space="0"/>
            </w:tcBorders>
            <w:shd w:val="clear" w:color="auto" w:fill="auto"/>
            <w:vAlign w:val="center"/>
          </w:tcPr>
          <w:p w14:paraId="118B49C0">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6224" w:type="dxa"/>
            <w:tcBorders>
              <w:top w:val="nil"/>
              <w:left w:val="nil"/>
              <w:bottom w:val="single" w:color="auto" w:sz="4" w:space="0"/>
              <w:right w:val="single" w:color="auto" w:sz="4" w:space="0"/>
            </w:tcBorders>
            <w:shd w:val="clear" w:color="auto" w:fill="auto"/>
            <w:noWrap/>
            <w:vAlign w:val="center"/>
          </w:tcPr>
          <w:p w14:paraId="4D650E0B">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1442B7C0">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5A73A2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102</w:t>
            </w: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4B2346A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平台移动端</w:t>
            </w:r>
          </w:p>
        </w:tc>
        <w:tc>
          <w:tcPr>
            <w:tcW w:w="535" w:type="dxa"/>
            <w:vMerge w:val="restart"/>
            <w:tcBorders>
              <w:top w:val="nil"/>
              <w:left w:val="single" w:color="auto" w:sz="4" w:space="0"/>
              <w:bottom w:val="nil"/>
              <w:right w:val="single" w:color="auto" w:sz="4" w:space="0"/>
            </w:tcBorders>
            <w:shd w:val="clear" w:color="auto" w:fill="auto"/>
            <w:vAlign w:val="center"/>
          </w:tcPr>
          <w:p w14:paraId="3461655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移动首页</w:t>
            </w:r>
          </w:p>
        </w:tc>
        <w:tc>
          <w:tcPr>
            <w:tcW w:w="535" w:type="dxa"/>
            <w:tcBorders>
              <w:top w:val="nil"/>
              <w:left w:val="nil"/>
              <w:bottom w:val="single" w:color="auto" w:sz="4" w:space="0"/>
              <w:right w:val="single" w:color="auto" w:sz="4" w:space="0"/>
            </w:tcBorders>
            <w:shd w:val="clear" w:color="auto" w:fill="auto"/>
            <w:vAlign w:val="center"/>
          </w:tcPr>
          <w:p w14:paraId="1AF0CE8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移动首页</w:t>
            </w:r>
          </w:p>
        </w:tc>
        <w:tc>
          <w:tcPr>
            <w:tcW w:w="6224" w:type="dxa"/>
            <w:tcBorders>
              <w:top w:val="nil"/>
              <w:left w:val="nil"/>
              <w:bottom w:val="single" w:color="auto" w:sz="4" w:space="0"/>
              <w:right w:val="single" w:color="auto" w:sz="4" w:space="0"/>
            </w:tcBorders>
            <w:shd w:val="clear" w:color="auto" w:fill="auto"/>
            <w:noWrap/>
            <w:vAlign w:val="center"/>
          </w:tcPr>
          <w:p w14:paraId="60D2826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提供手机端入口的移动首页，用户登录后可以根据用户的个人账号权限，展示该角色下的关键业务数据。支持公告、待办、任务等相关关键信息推送，助力工作人员获得最新业务跟进状态。另为集团领导提供企业经营的关键业务指标，包括企业营收、净利润、资产净收入等关键指标。</w:t>
            </w:r>
          </w:p>
        </w:tc>
      </w:tr>
      <w:tr w14:paraId="4D6B2706">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B463D3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103</w:t>
            </w:r>
          </w:p>
        </w:tc>
        <w:tc>
          <w:tcPr>
            <w:tcW w:w="535" w:type="dxa"/>
            <w:vMerge w:val="continue"/>
            <w:tcBorders>
              <w:top w:val="nil"/>
              <w:left w:val="single" w:color="auto" w:sz="4" w:space="0"/>
              <w:bottom w:val="single" w:color="000000" w:sz="4" w:space="0"/>
              <w:right w:val="single" w:color="auto" w:sz="4" w:space="0"/>
            </w:tcBorders>
            <w:vAlign w:val="center"/>
          </w:tcPr>
          <w:p w14:paraId="61930C02">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nil"/>
              <w:right w:val="single" w:color="auto" w:sz="4" w:space="0"/>
            </w:tcBorders>
            <w:vAlign w:val="center"/>
          </w:tcPr>
          <w:p w14:paraId="3534A206">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4C57318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待办信息管理</w:t>
            </w:r>
          </w:p>
        </w:tc>
        <w:tc>
          <w:tcPr>
            <w:tcW w:w="6224" w:type="dxa"/>
            <w:tcBorders>
              <w:top w:val="nil"/>
              <w:left w:val="nil"/>
              <w:bottom w:val="single" w:color="auto" w:sz="4" w:space="0"/>
              <w:right w:val="single" w:color="auto" w:sz="4" w:space="0"/>
            </w:tcBorders>
            <w:shd w:val="clear" w:color="auto" w:fill="auto"/>
            <w:noWrap/>
            <w:vAlign w:val="center"/>
          </w:tcPr>
          <w:p w14:paraId="00AFF96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集中推送所有未读信息，提供移动端直接动态推送集团相关信息及公告。使得所有待处理事项得以通过统一途径推送给APP的使用者，而使用者无需关心来自于哪个系统、哪个模块；主要推送内容包括：待办流程、未读文档、未读新闻、未读公告、待办项目等。用户可通过待办信息点击后直接进入工作台进行业务处理。</w:t>
            </w:r>
          </w:p>
        </w:tc>
      </w:tr>
      <w:tr w14:paraId="4253B95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FBBFFD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104</w:t>
            </w:r>
          </w:p>
        </w:tc>
        <w:tc>
          <w:tcPr>
            <w:tcW w:w="535" w:type="dxa"/>
            <w:vMerge w:val="continue"/>
            <w:tcBorders>
              <w:top w:val="nil"/>
              <w:left w:val="single" w:color="auto" w:sz="4" w:space="0"/>
              <w:bottom w:val="single" w:color="000000" w:sz="4" w:space="0"/>
              <w:right w:val="single" w:color="auto" w:sz="4" w:space="0"/>
            </w:tcBorders>
            <w:vAlign w:val="center"/>
          </w:tcPr>
          <w:p w14:paraId="38FE50CC">
            <w:pPr>
              <w:widowControl/>
              <w:jc w:val="left"/>
              <w:rPr>
                <w:rFonts w:ascii="宋体" w:hAnsi="宋体" w:eastAsia="宋体" w:cs="宋体"/>
                <w:color w:val="000000"/>
                <w:kern w:val="0"/>
                <w:szCs w:val="21"/>
                <w14:ligatures w14:val="none"/>
              </w:rPr>
            </w:pPr>
          </w:p>
        </w:tc>
        <w:tc>
          <w:tcPr>
            <w:tcW w:w="535" w:type="dxa"/>
            <w:vMerge w:val="restart"/>
            <w:tcBorders>
              <w:top w:val="single" w:color="auto" w:sz="4" w:space="0"/>
              <w:left w:val="single" w:color="auto" w:sz="4" w:space="0"/>
              <w:bottom w:val="nil"/>
              <w:right w:val="single" w:color="auto" w:sz="4" w:space="0"/>
            </w:tcBorders>
            <w:shd w:val="clear" w:color="auto" w:fill="auto"/>
            <w:vAlign w:val="center"/>
          </w:tcPr>
          <w:p w14:paraId="00CAB8F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移动工作台</w:t>
            </w:r>
          </w:p>
        </w:tc>
        <w:tc>
          <w:tcPr>
            <w:tcW w:w="535" w:type="dxa"/>
            <w:tcBorders>
              <w:top w:val="nil"/>
              <w:left w:val="nil"/>
              <w:bottom w:val="single" w:color="auto" w:sz="4" w:space="0"/>
              <w:right w:val="single" w:color="auto" w:sz="4" w:space="0"/>
            </w:tcBorders>
            <w:shd w:val="clear" w:color="auto" w:fill="auto"/>
            <w:vAlign w:val="center"/>
          </w:tcPr>
          <w:p w14:paraId="72B98D4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审批中心</w:t>
            </w:r>
          </w:p>
        </w:tc>
        <w:tc>
          <w:tcPr>
            <w:tcW w:w="6224" w:type="dxa"/>
            <w:tcBorders>
              <w:top w:val="nil"/>
              <w:left w:val="nil"/>
              <w:bottom w:val="single" w:color="auto" w:sz="4" w:space="0"/>
              <w:right w:val="single" w:color="auto" w:sz="4" w:space="0"/>
            </w:tcBorders>
            <w:shd w:val="clear" w:color="auto" w:fill="auto"/>
            <w:noWrap/>
            <w:vAlign w:val="center"/>
          </w:tcPr>
          <w:p w14:paraId="5BA514F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支持移动流程中心同步PC端流程待办、流程发起，支持移动端流程的办理查询、提醒、待办流程审批操作。支持集成各业务系统的待办消息，在移动端进行统一的待办提醒和处理操作。</w:t>
            </w:r>
          </w:p>
        </w:tc>
      </w:tr>
      <w:tr w14:paraId="568CA52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46EFC4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105</w:t>
            </w:r>
          </w:p>
        </w:tc>
        <w:tc>
          <w:tcPr>
            <w:tcW w:w="535" w:type="dxa"/>
            <w:vMerge w:val="continue"/>
            <w:tcBorders>
              <w:top w:val="nil"/>
              <w:left w:val="single" w:color="auto" w:sz="4" w:space="0"/>
              <w:bottom w:val="single" w:color="000000" w:sz="4" w:space="0"/>
              <w:right w:val="single" w:color="auto" w:sz="4" w:space="0"/>
            </w:tcBorders>
            <w:vAlign w:val="center"/>
          </w:tcPr>
          <w:p w14:paraId="48535D4E">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6232DD2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6F394B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待办分类</w:t>
            </w:r>
          </w:p>
        </w:tc>
        <w:tc>
          <w:tcPr>
            <w:tcW w:w="6224" w:type="dxa"/>
            <w:tcBorders>
              <w:top w:val="nil"/>
              <w:left w:val="nil"/>
              <w:bottom w:val="single" w:color="auto" w:sz="4" w:space="0"/>
              <w:right w:val="single" w:color="auto" w:sz="4" w:space="0"/>
            </w:tcBorders>
            <w:shd w:val="clear" w:color="auto" w:fill="auto"/>
            <w:noWrap/>
            <w:vAlign w:val="center"/>
          </w:tcPr>
          <w:p w14:paraId="64F93EF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支持各个系统的待办消息集中、分类列表展示。可对系统多类消息设置提醒，例如待办消息、流程知会、通知等。并且针对每个业务模块可建立分类，以便消息按模块进行集中的展示，便于处理。</w:t>
            </w:r>
          </w:p>
        </w:tc>
      </w:tr>
      <w:tr w14:paraId="2CC3585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E634DB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106</w:t>
            </w:r>
          </w:p>
        </w:tc>
        <w:tc>
          <w:tcPr>
            <w:tcW w:w="535" w:type="dxa"/>
            <w:vMerge w:val="continue"/>
            <w:tcBorders>
              <w:top w:val="nil"/>
              <w:left w:val="single" w:color="auto" w:sz="4" w:space="0"/>
              <w:bottom w:val="single" w:color="000000" w:sz="4" w:space="0"/>
              <w:right w:val="single" w:color="auto" w:sz="4" w:space="0"/>
            </w:tcBorders>
            <w:vAlign w:val="center"/>
          </w:tcPr>
          <w:p w14:paraId="415E6174">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3ECE3D8C">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649190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流程发起</w:t>
            </w:r>
          </w:p>
        </w:tc>
        <w:tc>
          <w:tcPr>
            <w:tcW w:w="6224" w:type="dxa"/>
            <w:tcBorders>
              <w:top w:val="nil"/>
              <w:left w:val="nil"/>
              <w:bottom w:val="single" w:color="auto" w:sz="4" w:space="0"/>
              <w:right w:val="single" w:color="auto" w:sz="4" w:space="0"/>
            </w:tcBorders>
            <w:shd w:val="clear" w:color="auto" w:fill="auto"/>
            <w:noWrap/>
            <w:vAlign w:val="center"/>
          </w:tcPr>
          <w:p w14:paraId="62088CA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支持在移动端发起新流程，实时跟踪监控发起流程的状态（包括流程详细信息、步骤明细、流程图），并及时办理自己的待办流程。</w:t>
            </w:r>
          </w:p>
        </w:tc>
      </w:tr>
      <w:tr w14:paraId="56BE79B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D5D849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107</w:t>
            </w:r>
          </w:p>
        </w:tc>
        <w:tc>
          <w:tcPr>
            <w:tcW w:w="535" w:type="dxa"/>
            <w:vMerge w:val="continue"/>
            <w:tcBorders>
              <w:top w:val="nil"/>
              <w:left w:val="single" w:color="auto" w:sz="4" w:space="0"/>
              <w:bottom w:val="single" w:color="000000" w:sz="4" w:space="0"/>
              <w:right w:val="single" w:color="auto" w:sz="4" w:space="0"/>
            </w:tcBorders>
            <w:vAlign w:val="center"/>
          </w:tcPr>
          <w:p w14:paraId="638B9234">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1139199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B3EB31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流程审批</w:t>
            </w:r>
          </w:p>
        </w:tc>
        <w:tc>
          <w:tcPr>
            <w:tcW w:w="6224" w:type="dxa"/>
            <w:tcBorders>
              <w:top w:val="nil"/>
              <w:left w:val="nil"/>
              <w:bottom w:val="single" w:color="auto" w:sz="4" w:space="0"/>
              <w:right w:val="single" w:color="auto" w:sz="4" w:space="0"/>
            </w:tcBorders>
            <w:shd w:val="clear" w:color="auto" w:fill="auto"/>
            <w:noWrap/>
            <w:vAlign w:val="center"/>
          </w:tcPr>
          <w:p w14:paraId="6300B3B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在移动终端上进行流程申请及审批、支持审批、驳回等操</w:t>
            </w:r>
            <w:r>
              <w:rPr>
                <w:rFonts w:hint="eastAsia" w:ascii="宋体" w:hAnsi="宋体" w:eastAsia="宋体" w:cs="宋体"/>
                <w:color w:val="000000"/>
                <w:kern w:val="0"/>
                <w:szCs w:val="21"/>
                <w:lang w:eastAsia="zh-CN"/>
                <w14:ligatures w14:val="none"/>
              </w:rPr>
              <w:t>作审</w:t>
            </w:r>
            <w:r>
              <w:rPr>
                <w:rFonts w:hint="eastAsia" w:ascii="宋体" w:hAnsi="宋体" w:eastAsia="宋体" w:cs="宋体"/>
                <w:color w:val="000000"/>
                <w:kern w:val="0"/>
                <w:szCs w:val="21"/>
                <w14:ligatures w14:val="none"/>
              </w:rPr>
              <w:t>批，并能够在移动终端上支持与流程相关的信息关联透视，如合同审批流程关联签报流程，需要在合同审批流程上直接打开相关签报进行关联查看。</w:t>
            </w:r>
          </w:p>
        </w:tc>
      </w:tr>
      <w:tr w14:paraId="1F6536BD">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D44CFC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108</w:t>
            </w:r>
          </w:p>
        </w:tc>
        <w:tc>
          <w:tcPr>
            <w:tcW w:w="535" w:type="dxa"/>
            <w:vMerge w:val="continue"/>
            <w:tcBorders>
              <w:top w:val="nil"/>
              <w:left w:val="single" w:color="auto" w:sz="4" w:space="0"/>
              <w:bottom w:val="single" w:color="000000" w:sz="4" w:space="0"/>
              <w:right w:val="single" w:color="auto" w:sz="4" w:space="0"/>
            </w:tcBorders>
            <w:vAlign w:val="center"/>
          </w:tcPr>
          <w:p w14:paraId="4D714D2E">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1B973F5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C5D9B5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合同管理</w:t>
            </w:r>
          </w:p>
        </w:tc>
        <w:tc>
          <w:tcPr>
            <w:tcW w:w="6224" w:type="dxa"/>
            <w:tcBorders>
              <w:top w:val="nil"/>
              <w:left w:val="nil"/>
              <w:bottom w:val="single" w:color="auto" w:sz="4" w:space="0"/>
              <w:right w:val="single" w:color="auto" w:sz="4" w:space="0"/>
            </w:tcBorders>
            <w:shd w:val="clear" w:color="auto" w:fill="auto"/>
            <w:noWrap/>
            <w:vAlign w:val="center"/>
          </w:tcPr>
          <w:p w14:paraId="174FAFC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用户在移动端合同管理中可以实现合同新增、修改、撤销等操作，可以实现对其他合同有审批权限的内容进行在线审核。同时，移动端可以为用户推送合同超期、合同归档、特殊风险等信息。</w:t>
            </w:r>
          </w:p>
        </w:tc>
      </w:tr>
      <w:tr w14:paraId="000EC62C">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8CBC40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109</w:t>
            </w:r>
          </w:p>
        </w:tc>
        <w:tc>
          <w:tcPr>
            <w:tcW w:w="535" w:type="dxa"/>
            <w:vMerge w:val="continue"/>
            <w:tcBorders>
              <w:top w:val="nil"/>
              <w:left w:val="single" w:color="auto" w:sz="4" w:space="0"/>
              <w:bottom w:val="single" w:color="000000" w:sz="4" w:space="0"/>
              <w:right w:val="single" w:color="auto" w:sz="4" w:space="0"/>
            </w:tcBorders>
            <w:vAlign w:val="center"/>
          </w:tcPr>
          <w:p w14:paraId="22BB5B94">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6F7D3CC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6A321F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项目管理</w:t>
            </w:r>
          </w:p>
        </w:tc>
        <w:tc>
          <w:tcPr>
            <w:tcW w:w="6224" w:type="dxa"/>
            <w:tcBorders>
              <w:top w:val="nil"/>
              <w:left w:val="nil"/>
              <w:bottom w:val="single" w:color="auto" w:sz="4" w:space="0"/>
              <w:right w:val="single" w:color="auto" w:sz="4" w:space="0"/>
            </w:tcBorders>
            <w:shd w:val="clear" w:color="auto" w:fill="auto"/>
            <w:noWrap/>
            <w:vAlign w:val="center"/>
          </w:tcPr>
          <w:p w14:paraId="57ED851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用户通过移动端应用可实现项目过程信息管控、投后信息管理、项目相关流程审批等功能。移动平台向用户推送项目进度信息、风险信息等内容。</w:t>
            </w:r>
          </w:p>
        </w:tc>
      </w:tr>
      <w:tr w14:paraId="50A9D4A4">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473599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110</w:t>
            </w:r>
          </w:p>
        </w:tc>
        <w:tc>
          <w:tcPr>
            <w:tcW w:w="535" w:type="dxa"/>
            <w:vMerge w:val="continue"/>
            <w:tcBorders>
              <w:top w:val="nil"/>
              <w:left w:val="single" w:color="auto" w:sz="4" w:space="0"/>
              <w:bottom w:val="single" w:color="000000" w:sz="4" w:space="0"/>
              <w:right w:val="single" w:color="auto" w:sz="4" w:space="0"/>
            </w:tcBorders>
            <w:vAlign w:val="center"/>
          </w:tcPr>
          <w:p w14:paraId="007325E4">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065BD9D4">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26241D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商机管理</w:t>
            </w:r>
          </w:p>
        </w:tc>
        <w:tc>
          <w:tcPr>
            <w:tcW w:w="6224" w:type="dxa"/>
            <w:tcBorders>
              <w:top w:val="nil"/>
              <w:left w:val="nil"/>
              <w:bottom w:val="single" w:color="auto" w:sz="4" w:space="0"/>
              <w:right w:val="single" w:color="auto" w:sz="4" w:space="0"/>
            </w:tcBorders>
            <w:shd w:val="clear" w:color="auto" w:fill="auto"/>
            <w:noWrap/>
            <w:vAlign w:val="center"/>
          </w:tcPr>
          <w:p w14:paraId="6C157B5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移动端为用户提供商机信息录入、商机信息发布、商机跟进状态反馈等功能。</w:t>
            </w:r>
          </w:p>
        </w:tc>
      </w:tr>
      <w:tr w14:paraId="69914F2C">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A902E8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111</w:t>
            </w:r>
          </w:p>
        </w:tc>
        <w:tc>
          <w:tcPr>
            <w:tcW w:w="535" w:type="dxa"/>
            <w:vMerge w:val="continue"/>
            <w:tcBorders>
              <w:top w:val="nil"/>
              <w:left w:val="single" w:color="auto" w:sz="4" w:space="0"/>
              <w:bottom w:val="single" w:color="000000" w:sz="4" w:space="0"/>
              <w:right w:val="single" w:color="auto" w:sz="4" w:space="0"/>
            </w:tcBorders>
            <w:vAlign w:val="center"/>
          </w:tcPr>
          <w:p w14:paraId="64CB1C4C">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31530EF7">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561CD6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合规审计</w:t>
            </w:r>
          </w:p>
        </w:tc>
        <w:tc>
          <w:tcPr>
            <w:tcW w:w="6224" w:type="dxa"/>
            <w:tcBorders>
              <w:top w:val="nil"/>
              <w:left w:val="nil"/>
              <w:bottom w:val="single" w:color="auto" w:sz="4" w:space="0"/>
              <w:right w:val="single" w:color="auto" w:sz="4" w:space="0"/>
            </w:tcBorders>
            <w:shd w:val="clear" w:color="auto" w:fill="auto"/>
            <w:noWrap/>
            <w:vAlign w:val="center"/>
          </w:tcPr>
          <w:p w14:paraId="40AC6D8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移动端为用户提供合规风险数据查看、审计任务发放、审计整改信息上报等功能应用。</w:t>
            </w:r>
          </w:p>
        </w:tc>
      </w:tr>
      <w:tr w14:paraId="4EFA075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92A70F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112</w:t>
            </w:r>
          </w:p>
        </w:tc>
        <w:tc>
          <w:tcPr>
            <w:tcW w:w="535" w:type="dxa"/>
            <w:vMerge w:val="continue"/>
            <w:tcBorders>
              <w:top w:val="nil"/>
              <w:left w:val="single" w:color="auto" w:sz="4" w:space="0"/>
              <w:bottom w:val="single" w:color="000000" w:sz="4" w:space="0"/>
              <w:right w:val="single" w:color="auto" w:sz="4" w:space="0"/>
            </w:tcBorders>
            <w:vAlign w:val="center"/>
          </w:tcPr>
          <w:p w14:paraId="43266B42">
            <w:pPr>
              <w:widowControl/>
              <w:jc w:val="left"/>
              <w:rPr>
                <w:rFonts w:ascii="宋体" w:hAnsi="宋体" w:eastAsia="宋体" w:cs="宋体"/>
                <w:color w:val="000000"/>
                <w:kern w:val="0"/>
                <w:szCs w:val="21"/>
                <w14:ligatures w14:val="none"/>
              </w:rPr>
            </w:pPr>
          </w:p>
        </w:tc>
        <w:tc>
          <w:tcPr>
            <w:tcW w:w="535" w:type="dxa"/>
            <w:vMerge w:val="continue"/>
            <w:tcBorders>
              <w:top w:val="single" w:color="auto" w:sz="4" w:space="0"/>
              <w:left w:val="single" w:color="auto" w:sz="4" w:space="0"/>
              <w:bottom w:val="nil"/>
              <w:right w:val="single" w:color="auto" w:sz="4" w:space="0"/>
            </w:tcBorders>
            <w:vAlign w:val="center"/>
          </w:tcPr>
          <w:p w14:paraId="3CBCA310">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16704E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资产管理</w:t>
            </w:r>
          </w:p>
        </w:tc>
        <w:tc>
          <w:tcPr>
            <w:tcW w:w="6224" w:type="dxa"/>
            <w:tcBorders>
              <w:top w:val="nil"/>
              <w:left w:val="nil"/>
              <w:bottom w:val="single" w:color="auto" w:sz="4" w:space="0"/>
              <w:right w:val="single" w:color="auto" w:sz="4" w:space="0"/>
            </w:tcBorders>
            <w:shd w:val="clear" w:color="auto" w:fill="auto"/>
            <w:noWrap/>
            <w:vAlign w:val="center"/>
          </w:tcPr>
          <w:p w14:paraId="71461D4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为用户提供资产入库登记、资产领用、调拨、划分、处置、清理、库内盘点等常规管理功能。</w:t>
            </w:r>
          </w:p>
        </w:tc>
      </w:tr>
      <w:tr w14:paraId="4123F8FE">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0E40F5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113</w:t>
            </w:r>
          </w:p>
        </w:tc>
        <w:tc>
          <w:tcPr>
            <w:tcW w:w="535" w:type="dxa"/>
            <w:vMerge w:val="continue"/>
            <w:tcBorders>
              <w:top w:val="nil"/>
              <w:left w:val="single" w:color="auto" w:sz="4" w:space="0"/>
              <w:bottom w:val="single" w:color="000000" w:sz="4" w:space="0"/>
              <w:right w:val="single" w:color="auto" w:sz="4" w:space="0"/>
            </w:tcBorders>
            <w:vAlign w:val="center"/>
          </w:tcPr>
          <w:p w14:paraId="411DA2CD">
            <w:pPr>
              <w:widowControl/>
              <w:jc w:val="left"/>
              <w:rPr>
                <w:rFonts w:ascii="宋体" w:hAnsi="宋体" w:eastAsia="宋体" w:cs="宋体"/>
                <w:color w:val="000000"/>
                <w:kern w:val="0"/>
                <w:szCs w:val="21"/>
                <w14:ligatures w14:val="none"/>
              </w:rPr>
            </w:pPr>
          </w:p>
        </w:tc>
        <w:tc>
          <w:tcPr>
            <w:tcW w:w="535" w:type="dxa"/>
            <w:tcBorders>
              <w:top w:val="single" w:color="auto" w:sz="4" w:space="0"/>
              <w:left w:val="nil"/>
              <w:bottom w:val="single" w:color="auto" w:sz="4" w:space="0"/>
              <w:right w:val="single" w:color="auto" w:sz="4" w:space="0"/>
            </w:tcBorders>
            <w:shd w:val="clear" w:color="auto" w:fill="auto"/>
            <w:vAlign w:val="center"/>
          </w:tcPr>
          <w:p w14:paraId="32F62BB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个人中心</w:t>
            </w:r>
          </w:p>
        </w:tc>
        <w:tc>
          <w:tcPr>
            <w:tcW w:w="535" w:type="dxa"/>
            <w:tcBorders>
              <w:top w:val="nil"/>
              <w:left w:val="nil"/>
              <w:bottom w:val="single" w:color="auto" w:sz="4" w:space="0"/>
              <w:right w:val="single" w:color="auto" w:sz="4" w:space="0"/>
            </w:tcBorders>
            <w:shd w:val="clear" w:color="auto" w:fill="auto"/>
            <w:vAlign w:val="center"/>
          </w:tcPr>
          <w:p w14:paraId="5CB7709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个人中心</w:t>
            </w:r>
          </w:p>
        </w:tc>
        <w:tc>
          <w:tcPr>
            <w:tcW w:w="6224" w:type="dxa"/>
            <w:tcBorders>
              <w:top w:val="nil"/>
              <w:left w:val="nil"/>
              <w:bottom w:val="single" w:color="auto" w:sz="4" w:space="0"/>
              <w:right w:val="single" w:color="auto" w:sz="4" w:space="0"/>
            </w:tcBorders>
            <w:shd w:val="clear" w:color="auto" w:fill="auto"/>
            <w:noWrap/>
            <w:vAlign w:val="center"/>
          </w:tcPr>
          <w:p w14:paraId="2FDA942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个人中心为用户提供个人基础信息管理、密码修改、程序使用协议管理、移动程序版本更新、退出登录等基本功能。</w:t>
            </w:r>
          </w:p>
        </w:tc>
      </w:tr>
      <w:tr w14:paraId="5F80A62B">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D0429F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114</w:t>
            </w:r>
          </w:p>
        </w:tc>
        <w:tc>
          <w:tcPr>
            <w:tcW w:w="535" w:type="dxa"/>
            <w:tcBorders>
              <w:top w:val="nil"/>
              <w:left w:val="nil"/>
              <w:bottom w:val="single" w:color="auto" w:sz="4" w:space="0"/>
              <w:right w:val="nil"/>
            </w:tcBorders>
            <w:shd w:val="clear" w:color="auto" w:fill="auto"/>
            <w:vAlign w:val="center"/>
          </w:tcPr>
          <w:p w14:paraId="769DCFB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w:t>
            </w:r>
          </w:p>
        </w:tc>
        <w:tc>
          <w:tcPr>
            <w:tcW w:w="535" w:type="dxa"/>
            <w:tcBorders>
              <w:top w:val="nil"/>
              <w:left w:val="nil"/>
              <w:bottom w:val="single" w:color="auto" w:sz="4" w:space="0"/>
              <w:right w:val="nil"/>
            </w:tcBorders>
            <w:shd w:val="clear" w:color="auto" w:fill="auto"/>
            <w:vAlign w:val="center"/>
          </w:tcPr>
          <w:p w14:paraId="01B03E0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w:t>
            </w:r>
          </w:p>
        </w:tc>
        <w:tc>
          <w:tcPr>
            <w:tcW w:w="535" w:type="dxa"/>
            <w:tcBorders>
              <w:top w:val="nil"/>
              <w:left w:val="nil"/>
              <w:bottom w:val="single" w:color="auto" w:sz="4" w:space="0"/>
              <w:right w:val="single" w:color="auto" w:sz="4" w:space="0"/>
            </w:tcBorders>
            <w:shd w:val="clear" w:color="auto" w:fill="auto"/>
            <w:vAlign w:val="center"/>
          </w:tcPr>
          <w:p w14:paraId="13AF29A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w:t>
            </w:r>
          </w:p>
        </w:tc>
        <w:tc>
          <w:tcPr>
            <w:tcW w:w="6224" w:type="dxa"/>
            <w:tcBorders>
              <w:top w:val="nil"/>
              <w:left w:val="nil"/>
              <w:bottom w:val="single" w:color="auto" w:sz="4" w:space="0"/>
              <w:right w:val="single" w:color="auto" w:sz="4" w:space="0"/>
            </w:tcBorders>
            <w:shd w:val="clear" w:color="auto" w:fill="auto"/>
            <w:noWrap/>
            <w:vAlign w:val="center"/>
          </w:tcPr>
          <w:p w14:paraId="7E6298B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　</w:t>
            </w:r>
          </w:p>
        </w:tc>
      </w:tr>
      <w:tr w14:paraId="1F0E365D">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50B4F9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115</w:t>
            </w:r>
          </w:p>
        </w:tc>
        <w:tc>
          <w:tcPr>
            <w:tcW w:w="1605" w:type="dxa"/>
            <w:gridSpan w:val="3"/>
            <w:tcBorders>
              <w:top w:val="single" w:color="auto" w:sz="4" w:space="0"/>
              <w:left w:val="nil"/>
              <w:bottom w:val="single" w:color="auto" w:sz="4" w:space="0"/>
              <w:right w:val="single" w:color="000000" w:sz="4" w:space="0"/>
            </w:tcBorders>
            <w:shd w:val="clear" w:color="auto" w:fill="auto"/>
            <w:vAlign w:val="center"/>
          </w:tcPr>
          <w:p w14:paraId="79BF705E">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6224" w:type="dxa"/>
            <w:tcBorders>
              <w:top w:val="nil"/>
              <w:left w:val="nil"/>
              <w:bottom w:val="single" w:color="auto" w:sz="4" w:space="0"/>
              <w:right w:val="single" w:color="auto" w:sz="4" w:space="0"/>
            </w:tcBorders>
            <w:shd w:val="clear" w:color="auto" w:fill="auto"/>
            <w:noWrap/>
            <w:vAlign w:val="center"/>
          </w:tcPr>
          <w:p w14:paraId="44CA6FDB">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21FAF8E7">
        <w:tblPrEx>
          <w:tblCellMar>
            <w:top w:w="0" w:type="dxa"/>
            <w:left w:w="108" w:type="dxa"/>
            <w:bottom w:w="0" w:type="dxa"/>
            <w:right w:w="108" w:type="dxa"/>
          </w:tblCellMar>
        </w:tblPrEx>
        <w:trPr>
          <w:trHeight w:val="249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71A249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116</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08C70C0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领导驾驶舱</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699D260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集团经营概览</w:t>
            </w:r>
          </w:p>
        </w:tc>
        <w:tc>
          <w:tcPr>
            <w:tcW w:w="535" w:type="dxa"/>
            <w:tcBorders>
              <w:top w:val="nil"/>
              <w:left w:val="nil"/>
              <w:bottom w:val="single" w:color="auto" w:sz="4" w:space="0"/>
              <w:right w:val="single" w:color="auto" w:sz="4" w:space="0"/>
            </w:tcBorders>
            <w:shd w:val="clear" w:color="auto" w:fill="auto"/>
            <w:vAlign w:val="center"/>
          </w:tcPr>
          <w:p w14:paraId="3918F5B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核心指标可视化</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1B59E777">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以动态仪表盘形式，集中展示集团营收、利润、资产负债率、现金流等关键经营指标，采用红绿预警灯直观显示指标达成状态（如实际营收低于目标值 10% 时标红预警）。搭配趋势折线图呈现年度/季度经营数据变化趋势，快速展现集团经营整体态势。</w:t>
            </w:r>
          </w:p>
        </w:tc>
      </w:tr>
      <w:tr w14:paraId="3EDD29B5">
        <w:tblPrEx>
          <w:tblCellMar>
            <w:top w:w="0" w:type="dxa"/>
            <w:left w:w="108" w:type="dxa"/>
            <w:bottom w:w="0" w:type="dxa"/>
            <w:right w:w="108" w:type="dxa"/>
          </w:tblCellMar>
        </w:tblPrEx>
        <w:trPr>
          <w:trHeight w:val="249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6965BE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117</w:t>
            </w:r>
          </w:p>
        </w:tc>
        <w:tc>
          <w:tcPr>
            <w:tcW w:w="535" w:type="dxa"/>
            <w:vMerge w:val="continue"/>
            <w:tcBorders>
              <w:top w:val="nil"/>
              <w:left w:val="single" w:color="auto" w:sz="4" w:space="0"/>
              <w:bottom w:val="single" w:color="auto" w:sz="4" w:space="0"/>
              <w:right w:val="single" w:color="auto" w:sz="4" w:space="0"/>
            </w:tcBorders>
            <w:vAlign w:val="center"/>
          </w:tcPr>
          <w:p w14:paraId="68C607DA">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443069A6">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C97150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经营数据综合看板</w:t>
            </w:r>
          </w:p>
        </w:tc>
        <w:tc>
          <w:tcPr>
            <w:tcW w:w="6224" w:type="dxa"/>
            <w:tcBorders>
              <w:top w:val="nil"/>
              <w:left w:val="nil"/>
              <w:bottom w:val="single" w:color="auto" w:sz="4" w:space="0"/>
              <w:right w:val="single" w:color="auto" w:sz="4" w:space="0"/>
            </w:tcBorders>
            <w:shd w:val="clear" w:color="auto" w:fill="auto"/>
            <w:noWrap/>
            <w:vAlign w:val="center"/>
          </w:tcPr>
          <w:p w14:paraId="6CEB2EB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以卡片形式展示各子公司核心经营数据，包括营收、净利润、净资产收益率、资产规模等指标，支持按子公司名称搜索和排序。每个数据卡片设置对比标识，显示该子公司数据与集团平均值、行业标杆值的差异。</w:t>
            </w:r>
          </w:p>
        </w:tc>
      </w:tr>
      <w:tr w14:paraId="629883A1">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72E90F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118</w:t>
            </w:r>
          </w:p>
        </w:tc>
        <w:tc>
          <w:tcPr>
            <w:tcW w:w="535" w:type="dxa"/>
            <w:vMerge w:val="continue"/>
            <w:tcBorders>
              <w:top w:val="nil"/>
              <w:left w:val="single" w:color="auto" w:sz="4" w:space="0"/>
              <w:bottom w:val="single" w:color="auto" w:sz="4" w:space="0"/>
              <w:right w:val="single" w:color="auto" w:sz="4" w:space="0"/>
            </w:tcBorders>
            <w:vAlign w:val="center"/>
          </w:tcPr>
          <w:p w14:paraId="1860F2F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2CC50ABF">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542735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多指标联动筛选</w:t>
            </w:r>
          </w:p>
        </w:tc>
        <w:tc>
          <w:tcPr>
            <w:tcW w:w="6224" w:type="dxa"/>
            <w:tcBorders>
              <w:top w:val="nil"/>
              <w:left w:val="nil"/>
              <w:bottom w:val="single" w:color="auto" w:sz="4" w:space="0"/>
              <w:right w:val="single" w:color="auto" w:sz="4" w:space="0"/>
            </w:tcBorders>
            <w:shd w:val="clear" w:color="auto" w:fill="auto"/>
            <w:noWrap/>
            <w:vAlign w:val="center"/>
          </w:tcPr>
          <w:p w14:paraId="12C2D96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支持多指标联动筛选，如选择特定季度后，自动关联展示该季度各子公司营收贡献占比、利润分布情况。</w:t>
            </w:r>
          </w:p>
        </w:tc>
      </w:tr>
      <w:tr w14:paraId="45FF2F07">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9D0BA2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119</w:t>
            </w:r>
          </w:p>
        </w:tc>
        <w:tc>
          <w:tcPr>
            <w:tcW w:w="535" w:type="dxa"/>
            <w:vMerge w:val="continue"/>
            <w:tcBorders>
              <w:top w:val="nil"/>
              <w:left w:val="single" w:color="auto" w:sz="4" w:space="0"/>
              <w:bottom w:val="single" w:color="auto" w:sz="4" w:space="0"/>
              <w:right w:val="single" w:color="auto" w:sz="4" w:space="0"/>
            </w:tcBorders>
            <w:vAlign w:val="center"/>
          </w:tcPr>
          <w:p w14:paraId="17947269">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5A371D06">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3BE322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子公司关联分析</w:t>
            </w:r>
          </w:p>
        </w:tc>
        <w:tc>
          <w:tcPr>
            <w:tcW w:w="6224" w:type="dxa"/>
            <w:tcBorders>
              <w:top w:val="nil"/>
              <w:left w:val="nil"/>
              <w:bottom w:val="single" w:color="auto" w:sz="4" w:space="0"/>
              <w:right w:val="single" w:color="auto" w:sz="4" w:space="0"/>
            </w:tcBorders>
            <w:shd w:val="clear" w:color="auto" w:fill="auto"/>
            <w:noWrap/>
            <w:vAlign w:val="center"/>
          </w:tcPr>
          <w:p w14:paraId="732A484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当选择某一子公司时，系统自动关联展示该子公司在集团营收、利润中的占比，以及与其他子公司的业务协同数据（如内部交易金额、合作项目数量）。</w:t>
            </w:r>
          </w:p>
        </w:tc>
      </w:tr>
      <w:tr w14:paraId="2DB45A41">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255B4B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120</w:t>
            </w:r>
          </w:p>
        </w:tc>
        <w:tc>
          <w:tcPr>
            <w:tcW w:w="535" w:type="dxa"/>
            <w:vMerge w:val="continue"/>
            <w:tcBorders>
              <w:top w:val="nil"/>
              <w:left w:val="single" w:color="auto" w:sz="4" w:space="0"/>
              <w:bottom w:val="single" w:color="auto" w:sz="4" w:space="0"/>
              <w:right w:val="single" w:color="auto" w:sz="4" w:space="0"/>
            </w:tcBorders>
            <w:vAlign w:val="center"/>
          </w:tcPr>
          <w:p w14:paraId="2DBA666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0F25B46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C72E4E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子公司数据穿透</w:t>
            </w:r>
          </w:p>
        </w:tc>
        <w:tc>
          <w:tcPr>
            <w:tcW w:w="6224" w:type="dxa"/>
            <w:tcBorders>
              <w:top w:val="nil"/>
              <w:left w:val="nil"/>
              <w:bottom w:val="single" w:color="auto" w:sz="4" w:space="0"/>
              <w:right w:val="single" w:color="auto" w:sz="4" w:space="0"/>
            </w:tcBorders>
            <w:shd w:val="clear" w:color="auto" w:fill="auto"/>
            <w:noWrap/>
            <w:vAlign w:val="center"/>
          </w:tcPr>
          <w:p w14:paraId="6C862EEA">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对任意子公司经营指标支持多层级数据下钻。点击子公司 “营收” 指标，可下钻至各业务板块营收明细；继续点击板块名称，可查看具体项目营收数据、客户贡献度；进一步下钻至客户维度，展示客户交易历史、合作趋势，实现从子公司到微观业务的全链条数据穿透分析</w:t>
            </w:r>
          </w:p>
        </w:tc>
      </w:tr>
      <w:tr w14:paraId="5C87B623">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555BFC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121</w:t>
            </w:r>
          </w:p>
        </w:tc>
        <w:tc>
          <w:tcPr>
            <w:tcW w:w="535" w:type="dxa"/>
            <w:vMerge w:val="continue"/>
            <w:tcBorders>
              <w:top w:val="nil"/>
              <w:left w:val="single" w:color="auto" w:sz="4" w:space="0"/>
              <w:bottom w:val="single" w:color="auto" w:sz="4" w:space="0"/>
              <w:right w:val="single" w:color="auto" w:sz="4" w:space="0"/>
            </w:tcBorders>
            <w:vAlign w:val="center"/>
          </w:tcPr>
          <w:p w14:paraId="697AE5BE">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105EF72E">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632750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经营问题溯源</w:t>
            </w:r>
          </w:p>
        </w:tc>
        <w:tc>
          <w:tcPr>
            <w:tcW w:w="6224" w:type="dxa"/>
            <w:tcBorders>
              <w:top w:val="nil"/>
              <w:left w:val="nil"/>
              <w:bottom w:val="single" w:color="auto" w:sz="4" w:space="0"/>
              <w:right w:val="single" w:color="auto" w:sz="4" w:space="0"/>
            </w:tcBorders>
            <w:shd w:val="clear" w:color="auto" w:fill="auto"/>
            <w:noWrap/>
            <w:vAlign w:val="center"/>
          </w:tcPr>
          <w:p w14:paraId="22A23680">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若子公司经营指标出现异常（如利润大幅下滑），点击预警标识，系统自动展示该子公司的成本构成、费用支出、项目执行情况等数据，帮助管理层快速定位问题根源。同时，提供与历史同期数据、预算数据的对比分析，为制定改进策略提供依据。</w:t>
            </w:r>
          </w:p>
        </w:tc>
      </w:tr>
      <w:tr w14:paraId="46B46C76">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EF54B3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122</w:t>
            </w:r>
          </w:p>
        </w:tc>
        <w:tc>
          <w:tcPr>
            <w:tcW w:w="535" w:type="dxa"/>
            <w:vMerge w:val="continue"/>
            <w:tcBorders>
              <w:top w:val="nil"/>
              <w:left w:val="single" w:color="auto" w:sz="4" w:space="0"/>
              <w:bottom w:val="single" w:color="auto" w:sz="4" w:space="0"/>
              <w:right w:val="single" w:color="auto" w:sz="4" w:space="0"/>
            </w:tcBorders>
            <w:vAlign w:val="center"/>
          </w:tcPr>
          <w:p w14:paraId="67BC62E3">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71CD4107">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0E8BBD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风险预警提示</w:t>
            </w:r>
          </w:p>
        </w:tc>
        <w:tc>
          <w:tcPr>
            <w:tcW w:w="6224" w:type="dxa"/>
            <w:tcBorders>
              <w:top w:val="nil"/>
              <w:left w:val="nil"/>
              <w:bottom w:val="single" w:color="auto" w:sz="4" w:space="0"/>
              <w:right w:val="single" w:color="auto" w:sz="4" w:space="0"/>
            </w:tcBorders>
            <w:shd w:val="clear" w:color="auto" w:fill="auto"/>
            <w:noWrap/>
            <w:vAlign w:val="center"/>
          </w:tcPr>
          <w:p w14:paraId="17ABCB4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基于预设的风险阈值，对经营不善的子公司进行预警。当子公司出现亏损扩大、负债率超标、现金流断裂等风险时，系统通过弹窗、图标闪烁等方式发出预警，出现预警后相关责任人可以在经营目标管理功能中进行预警反馈，领导可以查询详细信息帮助管理层及时采取措施化解风险。</w:t>
            </w:r>
          </w:p>
        </w:tc>
      </w:tr>
      <w:tr w14:paraId="7D0AD974">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1493DB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123</w:t>
            </w:r>
          </w:p>
        </w:tc>
        <w:tc>
          <w:tcPr>
            <w:tcW w:w="535" w:type="dxa"/>
            <w:vMerge w:val="continue"/>
            <w:tcBorders>
              <w:top w:val="nil"/>
              <w:left w:val="single" w:color="auto" w:sz="4" w:space="0"/>
              <w:bottom w:val="single" w:color="auto" w:sz="4" w:space="0"/>
              <w:right w:val="single" w:color="auto" w:sz="4" w:space="0"/>
            </w:tcBorders>
            <w:vAlign w:val="center"/>
          </w:tcPr>
          <w:p w14:paraId="04C6FB91">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682DA64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投资项目专题</w:t>
            </w:r>
          </w:p>
        </w:tc>
        <w:tc>
          <w:tcPr>
            <w:tcW w:w="535" w:type="dxa"/>
            <w:tcBorders>
              <w:top w:val="nil"/>
              <w:left w:val="nil"/>
              <w:bottom w:val="single" w:color="auto" w:sz="4" w:space="0"/>
              <w:right w:val="single" w:color="auto" w:sz="4" w:space="0"/>
            </w:tcBorders>
            <w:shd w:val="clear" w:color="auto" w:fill="auto"/>
            <w:vAlign w:val="center"/>
          </w:tcPr>
          <w:p w14:paraId="207A05B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项目全景展示</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774B6F8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通过可视化图表展示投资项目类型、投资金额、行业占比、收益统计、风险等级构成等信息，直观呈现投资布局合理性。</w:t>
            </w:r>
          </w:p>
        </w:tc>
      </w:tr>
      <w:tr w14:paraId="0139B246">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9E488D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124</w:t>
            </w:r>
          </w:p>
        </w:tc>
        <w:tc>
          <w:tcPr>
            <w:tcW w:w="535" w:type="dxa"/>
            <w:vMerge w:val="continue"/>
            <w:tcBorders>
              <w:top w:val="nil"/>
              <w:left w:val="single" w:color="auto" w:sz="4" w:space="0"/>
              <w:bottom w:val="single" w:color="auto" w:sz="4" w:space="0"/>
              <w:right w:val="single" w:color="auto" w:sz="4" w:space="0"/>
            </w:tcBorders>
            <w:vAlign w:val="center"/>
          </w:tcPr>
          <w:p w14:paraId="1A7C623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7073147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EACB93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动态进度跟踪</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084E737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实时滚动展示重点投资项目关键节点进展，如立项审批、投决会召开、资金拨付等时间节点；预警投资项目潜在风险。</w:t>
            </w:r>
          </w:p>
        </w:tc>
      </w:tr>
      <w:tr w14:paraId="65D73716">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3A7E5B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125</w:t>
            </w:r>
          </w:p>
        </w:tc>
        <w:tc>
          <w:tcPr>
            <w:tcW w:w="535" w:type="dxa"/>
            <w:vMerge w:val="continue"/>
            <w:tcBorders>
              <w:top w:val="nil"/>
              <w:left w:val="single" w:color="auto" w:sz="4" w:space="0"/>
              <w:bottom w:val="single" w:color="auto" w:sz="4" w:space="0"/>
              <w:right w:val="single" w:color="auto" w:sz="4" w:space="0"/>
            </w:tcBorders>
            <w:vAlign w:val="center"/>
          </w:tcPr>
          <w:p w14:paraId="4D571DBE">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3B5D9BB2">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9CE500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多维下钻分析</w:t>
            </w:r>
            <w:r>
              <w:rPr>
                <w:rFonts w:hint="eastAsia" w:ascii="MS Gothic" w:hAnsi="MS Gothic" w:eastAsia="MS Gothic" w:cs="MS Gothic"/>
                <w:color w:val="000000"/>
                <w:kern w:val="0"/>
                <w:szCs w:val="21"/>
                <w14:ligatures w14:val="none"/>
              </w:rPr>
              <w:t>​</w:t>
            </w:r>
          </w:p>
        </w:tc>
        <w:tc>
          <w:tcPr>
            <w:tcW w:w="6224" w:type="dxa"/>
            <w:tcBorders>
              <w:top w:val="nil"/>
              <w:left w:val="nil"/>
              <w:bottom w:val="single" w:color="auto" w:sz="4" w:space="0"/>
              <w:right w:val="single" w:color="auto" w:sz="4" w:space="0"/>
            </w:tcBorders>
            <w:shd w:val="clear" w:color="auto" w:fill="auto"/>
            <w:noWrap/>
            <w:vAlign w:val="center"/>
          </w:tcPr>
          <w:p w14:paraId="0B1C7F9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点击具体投资项目，下钻查看项目基本信息、尽调报告摘要、财务预测数据；继续下钻可查看投后管理数据，如项目运营指标、收益兑现情况、风险预警记录；进一步下钻至底层数据源，追溯原始合同、财务凭证等文件，实现投资项目全生命周期数据追溯。</w:t>
            </w:r>
          </w:p>
        </w:tc>
      </w:tr>
      <w:tr w14:paraId="2A5181D5">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2F3EDA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126</w:t>
            </w:r>
          </w:p>
        </w:tc>
        <w:tc>
          <w:tcPr>
            <w:tcW w:w="535" w:type="dxa"/>
            <w:vMerge w:val="continue"/>
            <w:tcBorders>
              <w:top w:val="nil"/>
              <w:left w:val="single" w:color="auto" w:sz="4" w:space="0"/>
              <w:bottom w:val="single" w:color="auto" w:sz="4" w:space="0"/>
              <w:right w:val="single" w:color="auto" w:sz="4" w:space="0"/>
            </w:tcBorders>
            <w:vAlign w:val="center"/>
          </w:tcPr>
          <w:p w14:paraId="361F3E4B">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350580C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载体运行专题</w:t>
            </w:r>
          </w:p>
        </w:tc>
        <w:tc>
          <w:tcPr>
            <w:tcW w:w="535" w:type="dxa"/>
            <w:tcBorders>
              <w:top w:val="nil"/>
              <w:left w:val="nil"/>
              <w:bottom w:val="single" w:color="auto" w:sz="4" w:space="0"/>
              <w:right w:val="single" w:color="auto" w:sz="4" w:space="0"/>
            </w:tcBorders>
            <w:shd w:val="clear" w:color="auto" w:fill="auto"/>
            <w:vAlign w:val="center"/>
          </w:tcPr>
          <w:p w14:paraId="17EDA6D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载体全景展示</w:t>
            </w:r>
          </w:p>
        </w:tc>
        <w:tc>
          <w:tcPr>
            <w:tcW w:w="6224" w:type="dxa"/>
            <w:tcBorders>
              <w:top w:val="nil"/>
              <w:left w:val="nil"/>
              <w:bottom w:val="single" w:color="auto" w:sz="4" w:space="0"/>
              <w:right w:val="single" w:color="auto" w:sz="4" w:space="0"/>
            </w:tcBorders>
            <w:shd w:val="clear" w:color="auto" w:fill="auto"/>
            <w:noWrap/>
            <w:vAlign w:val="center"/>
          </w:tcPr>
          <w:p w14:paraId="2DBDBBF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按类型统计，展示总数量、总建筑面积、总可租赁面积，附带同比增长率。对核心指标出租率等信息，按载体类型拆分，对低于预警阈值的类型标红预警。提供累计租金收入、平均单位面积租金、租金收缴率，关联预算完成度统计。</w:t>
            </w:r>
          </w:p>
        </w:tc>
      </w:tr>
      <w:tr w14:paraId="64C4C0BE">
        <w:tblPrEx>
          <w:tblCellMar>
            <w:top w:w="0" w:type="dxa"/>
            <w:left w:w="108" w:type="dxa"/>
            <w:bottom w:w="0" w:type="dxa"/>
            <w:right w:w="108" w:type="dxa"/>
          </w:tblCellMar>
        </w:tblPrEx>
        <w:trPr>
          <w:trHeight w:val="156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856369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127</w:t>
            </w:r>
          </w:p>
        </w:tc>
        <w:tc>
          <w:tcPr>
            <w:tcW w:w="535" w:type="dxa"/>
            <w:vMerge w:val="continue"/>
            <w:tcBorders>
              <w:top w:val="nil"/>
              <w:left w:val="single" w:color="auto" w:sz="4" w:space="0"/>
              <w:bottom w:val="single" w:color="auto" w:sz="4" w:space="0"/>
              <w:right w:val="single" w:color="auto" w:sz="4" w:space="0"/>
            </w:tcBorders>
            <w:vAlign w:val="center"/>
          </w:tcPr>
          <w:p w14:paraId="1F192C4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509CA320">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D6C1BE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动态监测分析</w:t>
            </w:r>
          </w:p>
        </w:tc>
        <w:tc>
          <w:tcPr>
            <w:tcW w:w="6224" w:type="dxa"/>
            <w:tcBorders>
              <w:top w:val="nil"/>
              <w:left w:val="nil"/>
              <w:bottom w:val="single" w:color="auto" w:sz="4" w:space="0"/>
              <w:right w:val="single" w:color="auto" w:sz="4" w:space="0"/>
            </w:tcBorders>
            <w:shd w:val="clear" w:color="auto" w:fill="auto"/>
            <w:noWrap/>
            <w:vAlign w:val="center"/>
          </w:tcPr>
          <w:p w14:paraId="4C76A76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按短期、中期、长期数据类型展示租赁项目占比，辅助预判未来空置风险。对未来6个月每月到期项目数量及面积，进行高优先级续约分析。</w:t>
            </w:r>
            <w:r>
              <w:rPr>
                <w:rFonts w:hint="eastAsia" w:ascii="宋体" w:hAnsi="宋体" w:eastAsia="宋体" w:cs="宋体"/>
                <w:color w:val="000000"/>
                <w:kern w:val="0"/>
                <w:szCs w:val="21"/>
                <w:lang w:eastAsia="zh-CN"/>
                <w14:ligatures w14:val="none"/>
              </w:rPr>
              <w:t>对</w:t>
            </w:r>
            <w:r>
              <w:rPr>
                <w:rFonts w:hint="eastAsia" w:ascii="宋体" w:hAnsi="宋体" w:eastAsia="宋体" w:cs="宋体"/>
                <w:color w:val="000000"/>
                <w:kern w:val="0"/>
                <w:szCs w:val="21"/>
                <w14:ligatures w14:val="none"/>
              </w:rPr>
              <w:t>入驻的不同行业进行分类统计，分析租户数量及占比，关联租金贡献度等信息。</w:t>
            </w:r>
          </w:p>
        </w:tc>
      </w:tr>
      <w:tr w14:paraId="55A8AB27">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398AAA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128</w:t>
            </w:r>
          </w:p>
        </w:tc>
        <w:tc>
          <w:tcPr>
            <w:tcW w:w="535" w:type="dxa"/>
            <w:vMerge w:val="continue"/>
            <w:tcBorders>
              <w:top w:val="nil"/>
              <w:left w:val="single" w:color="auto" w:sz="4" w:space="0"/>
              <w:bottom w:val="single" w:color="auto" w:sz="4" w:space="0"/>
              <w:right w:val="single" w:color="auto" w:sz="4" w:space="0"/>
            </w:tcBorders>
            <w:vAlign w:val="center"/>
          </w:tcPr>
          <w:p w14:paraId="6E4816F1">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7B275F5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服务项目专题</w:t>
            </w:r>
          </w:p>
        </w:tc>
        <w:tc>
          <w:tcPr>
            <w:tcW w:w="535" w:type="dxa"/>
            <w:tcBorders>
              <w:top w:val="nil"/>
              <w:left w:val="nil"/>
              <w:bottom w:val="single" w:color="auto" w:sz="4" w:space="0"/>
              <w:right w:val="single" w:color="auto" w:sz="4" w:space="0"/>
            </w:tcBorders>
            <w:shd w:val="clear" w:color="auto" w:fill="auto"/>
            <w:vAlign w:val="center"/>
          </w:tcPr>
          <w:p w14:paraId="5E61067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项目信息总览</w:t>
            </w:r>
          </w:p>
        </w:tc>
        <w:tc>
          <w:tcPr>
            <w:tcW w:w="6224" w:type="dxa"/>
            <w:tcBorders>
              <w:top w:val="nil"/>
              <w:left w:val="nil"/>
              <w:bottom w:val="single" w:color="auto" w:sz="4" w:space="0"/>
              <w:right w:val="single" w:color="auto" w:sz="4" w:space="0"/>
            </w:tcBorders>
            <w:shd w:val="clear" w:color="auto" w:fill="auto"/>
            <w:noWrap/>
            <w:vAlign w:val="center"/>
          </w:tcPr>
          <w:p w14:paraId="4EBF158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对总项目数、按状态拆分、延期项目数标红并显示占比、服务类型分布数量及占比、服务收入、客户满意度、项目完成时效等核心指标进行数据统计展示，分析项目高优先级项目数指导项目全局管控。</w:t>
            </w:r>
          </w:p>
        </w:tc>
      </w:tr>
      <w:tr w14:paraId="6196EB92">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3CB5C3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129</w:t>
            </w:r>
          </w:p>
        </w:tc>
        <w:tc>
          <w:tcPr>
            <w:tcW w:w="535" w:type="dxa"/>
            <w:vMerge w:val="continue"/>
            <w:tcBorders>
              <w:top w:val="nil"/>
              <w:left w:val="single" w:color="auto" w:sz="4" w:space="0"/>
              <w:bottom w:val="single" w:color="auto" w:sz="4" w:space="0"/>
              <w:right w:val="single" w:color="auto" w:sz="4" w:space="0"/>
            </w:tcBorders>
            <w:vAlign w:val="center"/>
          </w:tcPr>
          <w:p w14:paraId="1FD19E2A">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6B045B2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509C44E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重点项目看板</w:t>
            </w:r>
          </w:p>
        </w:tc>
        <w:tc>
          <w:tcPr>
            <w:tcW w:w="6224" w:type="dxa"/>
            <w:tcBorders>
              <w:top w:val="nil"/>
              <w:left w:val="nil"/>
              <w:bottom w:val="single" w:color="auto" w:sz="4" w:space="0"/>
              <w:right w:val="single" w:color="auto" w:sz="4" w:space="0"/>
            </w:tcBorders>
            <w:shd w:val="clear" w:color="auto" w:fill="auto"/>
            <w:noWrap/>
            <w:vAlign w:val="center"/>
          </w:tcPr>
          <w:p w14:paraId="7FCB178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按战略优先级/金额排序，展示项目名称、所属类型、负责人、当前阶段、进度百分比等信息。对于延期项目可查看延期原因及计划补救措施。</w:t>
            </w:r>
          </w:p>
        </w:tc>
      </w:tr>
      <w:tr w14:paraId="2E1E2F24">
        <w:tblPrEx>
          <w:tblCellMar>
            <w:top w:w="0" w:type="dxa"/>
            <w:left w:w="108" w:type="dxa"/>
            <w:bottom w:w="0" w:type="dxa"/>
            <w:right w:w="108" w:type="dxa"/>
          </w:tblCellMar>
        </w:tblPrEx>
        <w:trPr>
          <w:trHeight w:val="280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B6D1D3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130</w:t>
            </w:r>
          </w:p>
        </w:tc>
        <w:tc>
          <w:tcPr>
            <w:tcW w:w="535" w:type="dxa"/>
            <w:vMerge w:val="continue"/>
            <w:tcBorders>
              <w:top w:val="nil"/>
              <w:left w:val="single" w:color="auto" w:sz="4" w:space="0"/>
              <w:bottom w:val="single" w:color="auto" w:sz="4" w:space="0"/>
              <w:right w:val="single" w:color="auto" w:sz="4" w:space="0"/>
            </w:tcBorders>
            <w:vAlign w:val="center"/>
          </w:tcPr>
          <w:p w14:paraId="691B479E">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191EB96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14ED7C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项目收入与支出分析</w:t>
            </w:r>
          </w:p>
        </w:tc>
        <w:tc>
          <w:tcPr>
            <w:tcW w:w="6224" w:type="dxa"/>
            <w:tcBorders>
              <w:top w:val="nil"/>
              <w:left w:val="nil"/>
              <w:bottom w:val="single" w:color="auto" w:sz="4" w:space="0"/>
              <w:right w:val="single" w:color="auto" w:sz="4" w:space="0"/>
            </w:tcBorders>
            <w:shd w:val="clear" w:color="auto" w:fill="auto"/>
            <w:noWrap/>
            <w:vAlign w:val="center"/>
          </w:tcPr>
          <w:p w14:paraId="51B12F7B">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对服务类新项目年度累计收入、月度收入进行趋势折线图分析，服务项目类型收入占比分析、支出占比分析、超支项目分析，提供收支对比分析等分析服务。</w:t>
            </w:r>
          </w:p>
        </w:tc>
      </w:tr>
      <w:tr w14:paraId="671ECDEA">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CFD290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131</w:t>
            </w:r>
          </w:p>
        </w:tc>
        <w:tc>
          <w:tcPr>
            <w:tcW w:w="535" w:type="dxa"/>
            <w:vMerge w:val="continue"/>
            <w:tcBorders>
              <w:top w:val="nil"/>
              <w:left w:val="single" w:color="auto" w:sz="4" w:space="0"/>
              <w:bottom w:val="single" w:color="auto" w:sz="4" w:space="0"/>
              <w:right w:val="single" w:color="auto" w:sz="4" w:space="0"/>
            </w:tcBorders>
            <w:vAlign w:val="center"/>
          </w:tcPr>
          <w:p w14:paraId="5B76C1A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357EC7B2">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9D05F5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项目风险预警</w:t>
            </w:r>
          </w:p>
        </w:tc>
        <w:tc>
          <w:tcPr>
            <w:tcW w:w="6224" w:type="dxa"/>
            <w:tcBorders>
              <w:top w:val="nil"/>
              <w:left w:val="nil"/>
              <w:bottom w:val="single" w:color="auto" w:sz="4" w:space="0"/>
              <w:right w:val="single" w:color="auto" w:sz="4" w:space="0"/>
            </w:tcBorders>
            <w:shd w:val="clear" w:color="auto" w:fill="auto"/>
            <w:noWrap/>
            <w:vAlign w:val="center"/>
          </w:tcPr>
          <w:p w14:paraId="7A1C46E3">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对全部服务项目进行风险分类和分级统计，展示高风险项目名称、风险点描述、影响范围、当前处置状态。提供近3个月风险数量变化折线图，识别风险高发类型。</w:t>
            </w:r>
          </w:p>
        </w:tc>
      </w:tr>
      <w:tr w14:paraId="1CDDEAAA">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0B7CD1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132</w:t>
            </w:r>
          </w:p>
        </w:tc>
        <w:tc>
          <w:tcPr>
            <w:tcW w:w="535" w:type="dxa"/>
            <w:vMerge w:val="continue"/>
            <w:tcBorders>
              <w:top w:val="nil"/>
              <w:left w:val="single" w:color="auto" w:sz="4" w:space="0"/>
              <w:bottom w:val="single" w:color="auto" w:sz="4" w:space="0"/>
              <w:right w:val="single" w:color="auto" w:sz="4" w:space="0"/>
            </w:tcBorders>
            <w:vAlign w:val="center"/>
          </w:tcPr>
          <w:p w14:paraId="60EE693C">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44E2082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合规风险专题</w:t>
            </w:r>
          </w:p>
        </w:tc>
        <w:tc>
          <w:tcPr>
            <w:tcW w:w="535" w:type="dxa"/>
            <w:tcBorders>
              <w:top w:val="nil"/>
              <w:left w:val="nil"/>
              <w:bottom w:val="single" w:color="auto" w:sz="4" w:space="0"/>
              <w:right w:val="single" w:color="auto" w:sz="4" w:space="0"/>
            </w:tcBorders>
            <w:shd w:val="clear" w:color="auto" w:fill="auto"/>
            <w:vAlign w:val="center"/>
          </w:tcPr>
          <w:p w14:paraId="5EC5322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风险态势感知</w:t>
            </w:r>
          </w:p>
        </w:tc>
        <w:tc>
          <w:tcPr>
            <w:tcW w:w="6224" w:type="dxa"/>
            <w:tcBorders>
              <w:top w:val="nil"/>
              <w:left w:val="nil"/>
              <w:bottom w:val="single" w:color="auto" w:sz="4" w:space="0"/>
              <w:right w:val="single" w:color="auto" w:sz="4" w:space="0"/>
            </w:tcBorders>
            <w:shd w:val="clear" w:color="auto" w:fill="auto"/>
            <w:noWrap/>
            <w:vAlign w:val="center"/>
          </w:tcPr>
          <w:p w14:paraId="2B97B06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以风险热力图展示集团各业务领域、子公司合规风险分布，颜色深浅代表风险等级高低；搭配风险类型占比环形图，直观呈现合同违规、财务舞弊、投资失范等风险分布情况。</w:t>
            </w:r>
          </w:p>
        </w:tc>
      </w:tr>
      <w:tr w14:paraId="17313868">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6F864A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133</w:t>
            </w:r>
          </w:p>
        </w:tc>
        <w:tc>
          <w:tcPr>
            <w:tcW w:w="535" w:type="dxa"/>
            <w:vMerge w:val="continue"/>
            <w:tcBorders>
              <w:top w:val="nil"/>
              <w:left w:val="single" w:color="auto" w:sz="4" w:space="0"/>
              <w:bottom w:val="single" w:color="auto" w:sz="4" w:space="0"/>
              <w:right w:val="single" w:color="auto" w:sz="4" w:space="0"/>
            </w:tcBorders>
            <w:vAlign w:val="center"/>
          </w:tcPr>
          <w:p w14:paraId="51A969D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5A304E10">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BA2D01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采购合规分析</w:t>
            </w:r>
          </w:p>
        </w:tc>
        <w:tc>
          <w:tcPr>
            <w:tcW w:w="6224" w:type="dxa"/>
            <w:tcBorders>
              <w:top w:val="nil"/>
              <w:left w:val="nil"/>
              <w:bottom w:val="single" w:color="auto" w:sz="4" w:space="0"/>
              <w:right w:val="single" w:color="auto" w:sz="4" w:space="0"/>
            </w:tcBorders>
            <w:shd w:val="clear" w:color="auto" w:fill="auto"/>
            <w:noWrap/>
            <w:vAlign w:val="center"/>
          </w:tcPr>
          <w:p w14:paraId="5E7215E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通过对集团的采购信息数据汇总，生成采购合规数据报表、异常中标、长期不中标、支出异常等数据统计可视化。</w:t>
            </w:r>
          </w:p>
        </w:tc>
      </w:tr>
      <w:tr w14:paraId="7A1F6181">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4775D14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134</w:t>
            </w:r>
          </w:p>
        </w:tc>
        <w:tc>
          <w:tcPr>
            <w:tcW w:w="535" w:type="dxa"/>
            <w:vMerge w:val="continue"/>
            <w:tcBorders>
              <w:top w:val="nil"/>
              <w:left w:val="single" w:color="auto" w:sz="4" w:space="0"/>
              <w:bottom w:val="single" w:color="auto" w:sz="4" w:space="0"/>
              <w:right w:val="single" w:color="auto" w:sz="4" w:space="0"/>
            </w:tcBorders>
            <w:vAlign w:val="center"/>
          </w:tcPr>
          <w:p w14:paraId="057C714A">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6267C6D5">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2EB6762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实时预警追踪</w:t>
            </w:r>
          </w:p>
        </w:tc>
        <w:tc>
          <w:tcPr>
            <w:tcW w:w="6224" w:type="dxa"/>
            <w:tcBorders>
              <w:top w:val="nil"/>
              <w:left w:val="nil"/>
              <w:bottom w:val="single" w:color="auto" w:sz="4" w:space="0"/>
              <w:right w:val="single" w:color="auto" w:sz="4" w:space="0"/>
            </w:tcBorders>
            <w:shd w:val="clear" w:color="auto" w:fill="auto"/>
            <w:noWrap/>
            <w:vAlign w:val="center"/>
          </w:tcPr>
          <w:p w14:paraId="7B40F79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滚动播报实时风险预警信息，包括风险类型、涉及部门 / 项目、触发规则、风险等级；通过预警趋势折线图，分析不同时间段风险发生频率变化，评估合规管理成效。</w:t>
            </w:r>
          </w:p>
        </w:tc>
      </w:tr>
      <w:tr w14:paraId="4923CED1">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2FEBB3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135</w:t>
            </w:r>
          </w:p>
        </w:tc>
        <w:tc>
          <w:tcPr>
            <w:tcW w:w="535" w:type="dxa"/>
            <w:vMerge w:val="continue"/>
            <w:tcBorders>
              <w:top w:val="nil"/>
              <w:left w:val="single" w:color="auto" w:sz="4" w:space="0"/>
              <w:bottom w:val="single" w:color="auto" w:sz="4" w:space="0"/>
              <w:right w:val="single" w:color="auto" w:sz="4" w:space="0"/>
            </w:tcBorders>
            <w:vAlign w:val="center"/>
          </w:tcPr>
          <w:p w14:paraId="039607D4">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000000" w:sz="4" w:space="0"/>
              <w:right w:val="single" w:color="auto" w:sz="4" w:space="0"/>
            </w:tcBorders>
            <w:vAlign w:val="center"/>
          </w:tcPr>
          <w:p w14:paraId="0D9C48F3">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4F5027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深度溯源分析</w:t>
            </w:r>
          </w:p>
        </w:tc>
        <w:tc>
          <w:tcPr>
            <w:tcW w:w="6224" w:type="dxa"/>
            <w:tcBorders>
              <w:top w:val="nil"/>
              <w:left w:val="nil"/>
              <w:bottom w:val="single" w:color="auto" w:sz="4" w:space="0"/>
              <w:right w:val="single" w:color="auto" w:sz="4" w:space="0"/>
            </w:tcBorders>
            <w:shd w:val="clear" w:color="auto" w:fill="auto"/>
            <w:noWrap/>
            <w:vAlign w:val="center"/>
          </w:tcPr>
          <w:p w14:paraId="2B716595">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点击风险预警条目，下钻查看风险详情，包括风险描述、关联数据、影响范围；继续下钻至业务流程环节，定位风险发生节点；进一步下钻至原始数据记录，调取相关合同条款、审批记录等，辅助管理层制定风险应对策略。</w:t>
            </w:r>
          </w:p>
        </w:tc>
      </w:tr>
      <w:tr w14:paraId="781319A3">
        <w:tblPrEx>
          <w:tblCellMar>
            <w:top w:w="0" w:type="dxa"/>
            <w:left w:w="108" w:type="dxa"/>
            <w:bottom w:w="0" w:type="dxa"/>
            <w:right w:w="108" w:type="dxa"/>
          </w:tblCellMar>
        </w:tblPrEx>
        <w:trPr>
          <w:trHeight w:val="320"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483AE0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136</w:t>
            </w:r>
          </w:p>
        </w:tc>
        <w:tc>
          <w:tcPr>
            <w:tcW w:w="1605" w:type="dxa"/>
            <w:gridSpan w:val="3"/>
            <w:tcBorders>
              <w:top w:val="single" w:color="auto" w:sz="4" w:space="0"/>
              <w:left w:val="nil"/>
              <w:bottom w:val="single" w:color="auto" w:sz="4" w:space="0"/>
              <w:right w:val="single" w:color="000000" w:sz="4" w:space="0"/>
            </w:tcBorders>
            <w:shd w:val="clear" w:color="auto" w:fill="auto"/>
            <w:vAlign w:val="center"/>
          </w:tcPr>
          <w:p w14:paraId="4D80F122">
            <w:pPr>
              <w:widowControl/>
              <w:jc w:val="center"/>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单元小计</w:t>
            </w:r>
          </w:p>
        </w:tc>
        <w:tc>
          <w:tcPr>
            <w:tcW w:w="6224" w:type="dxa"/>
            <w:tcBorders>
              <w:top w:val="nil"/>
              <w:left w:val="nil"/>
              <w:bottom w:val="single" w:color="auto" w:sz="4" w:space="0"/>
              <w:right w:val="single" w:color="auto" w:sz="4" w:space="0"/>
            </w:tcBorders>
            <w:shd w:val="clear" w:color="auto" w:fill="auto"/>
            <w:noWrap/>
            <w:vAlign w:val="center"/>
          </w:tcPr>
          <w:p w14:paraId="0921979F">
            <w:pPr>
              <w:widowControl/>
              <w:rPr>
                <w:rFonts w:ascii="宋体" w:hAnsi="宋体" w:eastAsia="宋体" w:cs="宋体"/>
                <w:b/>
                <w:bCs/>
                <w:color w:val="000000"/>
                <w:kern w:val="0"/>
                <w:szCs w:val="21"/>
                <w14:ligatures w14:val="none"/>
              </w:rPr>
            </w:pPr>
            <w:r>
              <w:rPr>
                <w:rFonts w:hint="eastAsia" w:ascii="宋体" w:hAnsi="宋体" w:eastAsia="宋体" w:cs="宋体"/>
                <w:b/>
                <w:bCs/>
                <w:color w:val="000000"/>
                <w:kern w:val="0"/>
                <w:szCs w:val="21"/>
                <w14:ligatures w14:val="none"/>
              </w:rPr>
              <w:t>　</w:t>
            </w:r>
          </w:p>
        </w:tc>
      </w:tr>
      <w:tr w14:paraId="3E4A8C7D">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7384A8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137</w:t>
            </w:r>
          </w:p>
        </w:tc>
        <w:tc>
          <w:tcPr>
            <w:tcW w:w="535" w:type="dxa"/>
            <w:vMerge w:val="restart"/>
            <w:tcBorders>
              <w:top w:val="nil"/>
              <w:left w:val="single" w:color="auto" w:sz="4" w:space="0"/>
              <w:bottom w:val="single" w:color="000000" w:sz="4" w:space="0"/>
              <w:right w:val="single" w:color="auto" w:sz="4" w:space="0"/>
            </w:tcBorders>
            <w:shd w:val="clear" w:color="auto" w:fill="auto"/>
            <w:vAlign w:val="center"/>
          </w:tcPr>
          <w:p w14:paraId="5835E04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多系统集成接口开发</w:t>
            </w: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3C0D565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NC系统</w:t>
            </w:r>
          </w:p>
        </w:tc>
        <w:tc>
          <w:tcPr>
            <w:tcW w:w="535" w:type="dxa"/>
            <w:tcBorders>
              <w:top w:val="nil"/>
              <w:left w:val="nil"/>
              <w:bottom w:val="single" w:color="auto" w:sz="4" w:space="0"/>
              <w:right w:val="single" w:color="auto" w:sz="4" w:space="0"/>
            </w:tcBorders>
            <w:shd w:val="clear" w:color="auto" w:fill="auto"/>
            <w:vAlign w:val="center"/>
          </w:tcPr>
          <w:p w14:paraId="59FF115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合同数据</w:t>
            </w:r>
          </w:p>
        </w:tc>
        <w:tc>
          <w:tcPr>
            <w:tcW w:w="6224" w:type="dxa"/>
            <w:tcBorders>
              <w:top w:val="nil"/>
              <w:left w:val="nil"/>
              <w:bottom w:val="single" w:color="auto" w:sz="4" w:space="0"/>
              <w:right w:val="single" w:color="auto" w:sz="4" w:space="0"/>
            </w:tcBorders>
            <w:shd w:val="clear" w:color="auto" w:fill="auto"/>
            <w:noWrap/>
            <w:vAlign w:val="center"/>
          </w:tcPr>
          <w:p w14:paraId="786660F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中间表方式，和财务NC系统对接合同数据共享。实现数据定期共享更新，智慧管控平台中产生的相关财务数据可以同步到中间表中，NC系统中的相关合同数据信息也可以同步到中间表。当中间表中有数据更新时，各自系统可以提示有数据更新，相关业务人员可以手工确认数据更新，也可自行进行数据更新。</w:t>
            </w:r>
          </w:p>
        </w:tc>
      </w:tr>
      <w:tr w14:paraId="5E6A875C">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293C223E">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138</w:t>
            </w:r>
          </w:p>
        </w:tc>
        <w:tc>
          <w:tcPr>
            <w:tcW w:w="535" w:type="dxa"/>
            <w:vMerge w:val="continue"/>
            <w:tcBorders>
              <w:top w:val="nil"/>
              <w:left w:val="single" w:color="auto" w:sz="4" w:space="0"/>
              <w:bottom w:val="single" w:color="000000" w:sz="4" w:space="0"/>
              <w:right w:val="single" w:color="auto" w:sz="4" w:space="0"/>
            </w:tcBorders>
            <w:vAlign w:val="center"/>
          </w:tcPr>
          <w:p w14:paraId="66282B0D">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6FCA9BB4">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76D98381">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收款数据</w:t>
            </w:r>
          </w:p>
        </w:tc>
        <w:tc>
          <w:tcPr>
            <w:tcW w:w="6224" w:type="dxa"/>
            <w:tcBorders>
              <w:top w:val="nil"/>
              <w:left w:val="nil"/>
              <w:bottom w:val="single" w:color="auto" w:sz="4" w:space="0"/>
              <w:right w:val="single" w:color="auto" w:sz="4" w:space="0"/>
            </w:tcBorders>
            <w:shd w:val="clear" w:color="auto" w:fill="auto"/>
            <w:noWrap/>
            <w:vAlign w:val="center"/>
          </w:tcPr>
          <w:p w14:paraId="7A46C43B">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中间表方式，和财务NC系统对接收款数据共享。实现数据定期共享更新，智慧管控平台中产生的相关财务数据可以同步到中间表中，NC系统中的相关合同数据信息也可以同步到中间表。当中间表中有数据更新时，各自系统可以提示有数据更新，相关业务人员可以手工确认数据更新，也可自行进行数据更新。</w:t>
            </w:r>
          </w:p>
        </w:tc>
      </w:tr>
      <w:tr w14:paraId="016EF654">
        <w:tblPrEx>
          <w:tblCellMar>
            <w:top w:w="0" w:type="dxa"/>
            <w:left w:w="108" w:type="dxa"/>
            <w:bottom w:w="0" w:type="dxa"/>
            <w:right w:w="108" w:type="dxa"/>
          </w:tblCellMar>
        </w:tblPrEx>
        <w:trPr>
          <w:trHeight w:val="21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109E22CF">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139</w:t>
            </w:r>
          </w:p>
        </w:tc>
        <w:tc>
          <w:tcPr>
            <w:tcW w:w="535" w:type="dxa"/>
            <w:vMerge w:val="continue"/>
            <w:tcBorders>
              <w:top w:val="nil"/>
              <w:left w:val="single" w:color="auto" w:sz="4" w:space="0"/>
              <w:bottom w:val="single" w:color="000000" w:sz="4" w:space="0"/>
              <w:right w:val="single" w:color="auto" w:sz="4" w:space="0"/>
            </w:tcBorders>
            <w:vAlign w:val="center"/>
          </w:tcPr>
          <w:p w14:paraId="4E266829">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098D87A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14FBC4B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经营数据</w:t>
            </w:r>
          </w:p>
        </w:tc>
        <w:tc>
          <w:tcPr>
            <w:tcW w:w="6224" w:type="dxa"/>
            <w:tcBorders>
              <w:top w:val="nil"/>
              <w:left w:val="nil"/>
              <w:bottom w:val="single" w:color="auto" w:sz="4" w:space="0"/>
              <w:right w:val="single" w:color="auto" w:sz="4" w:space="0"/>
            </w:tcBorders>
            <w:shd w:val="clear" w:color="auto" w:fill="auto"/>
            <w:noWrap/>
            <w:vAlign w:val="center"/>
          </w:tcPr>
          <w:p w14:paraId="1C7E137E">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中间表方式，和财务NC系统对接经营数据、财报数据等共享。实现数据定期共享更新，智慧管控平台中产生的相关财务数据可以同步到中间表中，NC系统中的相关合同数据信息也可以同步到中间表。当中间表中有数据更新时，各自系统可以提示有数据更新，相关业务人员可以手工确认数据更新，也可自行进行数据更新。</w:t>
            </w:r>
          </w:p>
        </w:tc>
      </w:tr>
      <w:tr w14:paraId="2BFB0E49">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52B88026">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140</w:t>
            </w:r>
          </w:p>
        </w:tc>
        <w:tc>
          <w:tcPr>
            <w:tcW w:w="535" w:type="dxa"/>
            <w:vMerge w:val="continue"/>
            <w:tcBorders>
              <w:top w:val="nil"/>
              <w:left w:val="single" w:color="auto" w:sz="4" w:space="0"/>
              <w:bottom w:val="single" w:color="000000" w:sz="4" w:space="0"/>
              <w:right w:val="single" w:color="auto" w:sz="4" w:space="0"/>
            </w:tcBorders>
            <w:vAlign w:val="center"/>
          </w:tcPr>
          <w:p w14:paraId="49F17353">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3CB2BCA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88719C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资产数据</w:t>
            </w:r>
          </w:p>
        </w:tc>
        <w:tc>
          <w:tcPr>
            <w:tcW w:w="6224" w:type="dxa"/>
            <w:tcBorders>
              <w:top w:val="nil"/>
              <w:left w:val="nil"/>
              <w:bottom w:val="single" w:color="auto" w:sz="4" w:space="0"/>
              <w:right w:val="single" w:color="auto" w:sz="4" w:space="0"/>
            </w:tcBorders>
            <w:shd w:val="clear" w:color="auto" w:fill="auto"/>
            <w:noWrap/>
            <w:vAlign w:val="center"/>
          </w:tcPr>
          <w:p w14:paraId="5278A0BF">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通过中间表方式，和财务NC系统对接资产数据共享。实现数据定期共享更新，智慧管控平台中产生的相关财务数据可以同步到中间表中，NC系统中的相关合同数据信息也可以同步到中间表。当中间表中有数据更新时，各自系统可以提示有数据更新，相关业务人员可以手工确认数据更新，也可自行进行数据更新。</w:t>
            </w:r>
          </w:p>
        </w:tc>
      </w:tr>
      <w:tr w14:paraId="6AB26743">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F45F90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141</w:t>
            </w:r>
          </w:p>
        </w:tc>
        <w:tc>
          <w:tcPr>
            <w:tcW w:w="535" w:type="dxa"/>
            <w:vMerge w:val="continue"/>
            <w:tcBorders>
              <w:top w:val="nil"/>
              <w:left w:val="single" w:color="auto" w:sz="4" w:space="0"/>
              <w:bottom w:val="single" w:color="000000" w:sz="4" w:space="0"/>
              <w:right w:val="single" w:color="auto" w:sz="4" w:space="0"/>
            </w:tcBorders>
            <w:vAlign w:val="center"/>
          </w:tcPr>
          <w:p w14:paraId="77BED505">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6FFFB793">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创投项目管理系统</w:t>
            </w:r>
          </w:p>
        </w:tc>
        <w:tc>
          <w:tcPr>
            <w:tcW w:w="535" w:type="dxa"/>
            <w:tcBorders>
              <w:top w:val="nil"/>
              <w:left w:val="nil"/>
              <w:bottom w:val="single" w:color="auto" w:sz="4" w:space="0"/>
              <w:right w:val="single" w:color="auto" w:sz="4" w:space="0"/>
            </w:tcBorders>
            <w:shd w:val="clear" w:color="auto" w:fill="auto"/>
            <w:vAlign w:val="center"/>
          </w:tcPr>
          <w:p w14:paraId="335FC415">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投资项目数据</w:t>
            </w:r>
          </w:p>
        </w:tc>
        <w:tc>
          <w:tcPr>
            <w:tcW w:w="6224" w:type="dxa"/>
            <w:tcBorders>
              <w:top w:val="nil"/>
              <w:left w:val="nil"/>
              <w:bottom w:val="single" w:color="auto" w:sz="4" w:space="0"/>
              <w:right w:val="single" w:color="auto" w:sz="4" w:space="0"/>
            </w:tcBorders>
            <w:shd w:val="clear" w:color="auto" w:fill="auto"/>
            <w:noWrap/>
            <w:vAlign w:val="center"/>
          </w:tcPr>
          <w:p w14:paraId="406B2412">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和创投公司已建设的投资项目管理系统进行数据接口建设，实现创投公司在系统中更新的投资项目的基础数据、审批流程数据等信息和经营管理系统数据互通。</w:t>
            </w:r>
          </w:p>
        </w:tc>
      </w:tr>
      <w:tr w14:paraId="288D151C">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57E22E8">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142</w:t>
            </w:r>
          </w:p>
        </w:tc>
        <w:tc>
          <w:tcPr>
            <w:tcW w:w="535" w:type="dxa"/>
            <w:vMerge w:val="continue"/>
            <w:tcBorders>
              <w:top w:val="nil"/>
              <w:left w:val="single" w:color="auto" w:sz="4" w:space="0"/>
              <w:bottom w:val="single" w:color="000000" w:sz="4" w:space="0"/>
              <w:right w:val="single" w:color="auto" w:sz="4" w:space="0"/>
            </w:tcBorders>
            <w:vAlign w:val="center"/>
          </w:tcPr>
          <w:p w14:paraId="059033D0">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7742F2D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A55976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投资合同数据</w:t>
            </w:r>
          </w:p>
        </w:tc>
        <w:tc>
          <w:tcPr>
            <w:tcW w:w="6224" w:type="dxa"/>
            <w:tcBorders>
              <w:top w:val="nil"/>
              <w:left w:val="nil"/>
              <w:bottom w:val="single" w:color="auto" w:sz="4" w:space="0"/>
              <w:right w:val="single" w:color="auto" w:sz="4" w:space="0"/>
            </w:tcBorders>
            <w:shd w:val="clear" w:color="auto" w:fill="auto"/>
            <w:noWrap/>
            <w:vAlign w:val="center"/>
          </w:tcPr>
          <w:p w14:paraId="63D752C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和创投公司已建设的投资项目管理系统进行数据接口建设，实现创投公司在系统中更新的投资项目的合同数据、审批流程数据等信息和经营管理系统数据互通。</w:t>
            </w:r>
          </w:p>
        </w:tc>
      </w:tr>
      <w:tr w14:paraId="3FDFE433">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76A1D3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143</w:t>
            </w:r>
          </w:p>
        </w:tc>
        <w:tc>
          <w:tcPr>
            <w:tcW w:w="535" w:type="dxa"/>
            <w:vMerge w:val="continue"/>
            <w:tcBorders>
              <w:top w:val="nil"/>
              <w:left w:val="single" w:color="auto" w:sz="4" w:space="0"/>
              <w:bottom w:val="single" w:color="000000" w:sz="4" w:space="0"/>
              <w:right w:val="single" w:color="auto" w:sz="4" w:space="0"/>
            </w:tcBorders>
            <w:vAlign w:val="center"/>
          </w:tcPr>
          <w:p w14:paraId="6D2952BB">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5623EA5C">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3EE1EB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投资收益数据</w:t>
            </w:r>
          </w:p>
        </w:tc>
        <w:tc>
          <w:tcPr>
            <w:tcW w:w="6224" w:type="dxa"/>
            <w:tcBorders>
              <w:top w:val="nil"/>
              <w:left w:val="nil"/>
              <w:bottom w:val="single" w:color="auto" w:sz="4" w:space="0"/>
              <w:right w:val="single" w:color="auto" w:sz="4" w:space="0"/>
            </w:tcBorders>
            <w:shd w:val="clear" w:color="auto" w:fill="auto"/>
            <w:noWrap/>
            <w:vAlign w:val="center"/>
          </w:tcPr>
          <w:p w14:paraId="2A4F9008">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和创投公司已建设的投资项目管理系统进行数据接口建设，实现创投公司在系统中更新的投资项目的收益数据、审批流程数据等信息和经营管理系统数据互通。</w:t>
            </w:r>
          </w:p>
        </w:tc>
      </w:tr>
      <w:tr w14:paraId="46DF0C6B">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B360E32">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144</w:t>
            </w:r>
          </w:p>
        </w:tc>
        <w:tc>
          <w:tcPr>
            <w:tcW w:w="535" w:type="dxa"/>
            <w:vMerge w:val="continue"/>
            <w:tcBorders>
              <w:top w:val="nil"/>
              <w:left w:val="single" w:color="auto" w:sz="4" w:space="0"/>
              <w:bottom w:val="single" w:color="000000" w:sz="4" w:space="0"/>
              <w:right w:val="single" w:color="auto" w:sz="4" w:space="0"/>
            </w:tcBorders>
            <w:vAlign w:val="center"/>
          </w:tcPr>
          <w:p w14:paraId="5502A2F7">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626E035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盈创动力相关子系统</w:t>
            </w:r>
          </w:p>
        </w:tc>
        <w:tc>
          <w:tcPr>
            <w:tcW w:w="535" w:type="dxa"/>
            <w:tcBorders>
              <w:top w:val="nil"/>
              <w:left w:val="nil"/>
              <w:bottom w:val="single" w:color="auto" w:sz="4" w:space="0"/>
              <w:right w:val="single" w:color="auto" w:sz="4" w:space="0"/>
            </w:tcBorders>
            <w:shd w:val="clear" w:color="auto" w:fill="auto"/>
            <w:vAlign w:val="center"/>
          </w:tcPr>
          <w:p w14:paraId="7C3F5FB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合同数据</w:t>
            </w:r>
          </w:p>
        </w:tc>
        <w:tc>
          <w:tcPr>
            <w:tcW w:w="6224" w:type="dxa"/>
            <w:tcBorders>
              <w:top w:val="nil"/>
              <w:left w:val="nil"/>
              <w:bottom w:val="single" w:color="auto" w:sz="4" w:space="0"/>
              <w:right w:val="single" w:color="auto" w:sz="4" w:space="0"/>
            </w:tcBorders>
            <w:shd w:val="clear" w:color="auto" w:fill="auto"/>
            <w:noWrap/>
            <w:vAlign w:val="center"/>
          </w:tcPr>
          <w:p w14:paraId="2739FFC9">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和盈创动力已建设的相关系统进行数据接口建设，实现盈创动力在系统中更新的合同数据、审批流程数据等信息和经营管理系统数据互通。</w:t>
            </w:r>
          </w:p>
        </w:tc>
      </w:tr>
      <w:tr w14:paraId="34669072">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0205CF9B">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145</w:t>
            </w:r>
          </w:p>
        </w:tc>
        <w:tc>
          <w:tcPr>
            <w:tcW w:w="535" w:type="dxa"/>
            <w:vMerge w:val="continue"/>
            <w:tcBorders>
              <w:top w:val="nil"/>
              <w:left w:val="single" w:color="auto" w:sz="4" w:space="0"/>
              <w:bottom w:val="single" w:color="000000" w:sz="4" w:space="0"/>
              <w:right w:val="single" w:color="auto" w:sz="4" w:space="0"/>
            </w:tcBorders>
            <w:vAlign w:val="center"/>
          </w:tcPr>
          <w:p w14:paraId="6DDECA46">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416EEB3C">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4AAC3FF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项目数据</w:t>
            </w:r>
          </w:p>
        </w:tc>
        <w:tc>
          <w:tcPr>
            <w:tcW w:w="6224" w:type="dxa"/>
            <w:tcBorders>
              <w:top w:val="nil"/>
              <w:left w:val="nil"/>
              <w:bottom w:val="single" w:color="auto" w:sz="4" w:space="0"/>
              <w:right w:val="single" w:color="auto" w:sz="4" w:space="0"/>
            </w:tcBorders>
            <w:shd w:val="clear" w:color="auto" w:fill="auto"/>
            <w:noWrap/>
            <w:vAlign w:val="center"/>
          </w:tcPr>
          <w:p w14:paraId="55C0877B">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和盈创动力已建设的相关系统进行数据接口建设，实现盈创动力在系统中更新的项目数据、审批流程数据等信息和经营管理系统数据互通。</w:t>
            </w:r>
          </w:p>
        </w:tc>
      </w:tr>
      <w:tr w14:paraId="61C3224E">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E328B7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146</w:t>
            </w:r>
          </w:p>
        </w:tc>
        <w:tc>
          <w:tcPr>
            <w:tcW w:w="535" w:type="dxa"/>
            <w:vMerge w:val="continue"/>
            <w:tcBorders>
              <w:top w:val="nil"/>
              <w:left w:val="single" w:color="auto" w:sz="4" w:space="0"/>
              <w:bottom w:val="single" w:color="000000" w:sz="4" w:space="0"/>
              <w:right w:val="single" w:color="auto" w:sz="4" w:space="0"/>
            </w:tcBorders>
            <w:vAlign w:val="center"/>
          </w:tcPr>
          <w:p w14:paraId="7F67BED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534696F8">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3C8482D4">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资产数据</w:t>
            </w:r>
          </w:p>
        </w:tc>
        <w:tc>
          <w:tcPr>
            <w:tcW w:w="6224" w:type="dxa"/>
            <w:tcBorders>
              <w:top w:val="nil"/>
              <w:left w:val="nil"/>
              <w:bottom w:val="single" w:color="auto" w:sz="4" w:space="0"/>
              <w:right w:val="single" w:color="auto" w:sz="4" w:space="0"/>
            </w:tcBorders>
            <w:shd w:val="clear" w:color="auto" w:fill="auto"/>
            <w:noWrap/>
            <w:vAlign w:val="center"/>
          </w:tcPr>
          <w:p w14:paraId="1551EECC">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和盈创动力已建设的相关系统进行数据接口建设，实现盈创动力在系统中更新的资产数据、审批流程数据等信息和经营管理系统数据互通。</w:t>
            </w:r>
          </w:p>
        </w:tc>
      </w:tr>
      <w:tr w14:paraId="276350B2">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05987F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147</w:t>
            </w:r>
          </w:p>
        </w:tc>
        <w:tc>
          <w:tcPr>
            <w:tcW w:w="535" w:type="dxa"/>
            <w:vMerge w:val="continue"/>
            <w:tcBorders>
              <w:top w:val="nil"/>
              <w:left w:val="single" w:color="auto" w:sz="4" w:space="0"/>
              <w:bottom w:val="single" w:color="000000" w:sz="4" w:space="0"/>
              <w:right w:val="single" w:color="auto" w:sz="4" w:space="0"/>
            </w:tcBorders>
            <w:vAlign w:val="center"/>
          </w:tcPr>
          <w:p w14:paraId="453B2EA2">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5D1C80ED">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E3B62E9">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企业数据</w:t>
            </w:r>
          </w:p>
        </w:tc>
        <w:tc>
          <w:tcPr>
            <w:tcW w:w="6224" w:type="dxa"/>
            <w:tcBorders>
              <w:top w:val="nil"/>
              <w:left w:val="nil"/>
              <w:bottom w:val="single" w:color="auto" w:sz="4" w:space="0"/>
              <w:right w:val="single" w:color="auto" w:sz="4" w:space="0"/>
            </w:tcBorders>
            <w:shd w:val="clear" w:color="auto" w:fill="auto"/>
            <w:noWrap/>
            <w:vAlign w:val="center"/>
          </w:tcPr>
          <w:p w14:paraId="5170FBD4">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和盈创动力已建设的相关系统进行数据接口建设，实现盈创动力在系统中更新的企业信息数据、企业信用等信息和经营管理系统数据互通。</w:t>
            </w:r>
          </w:p>
        </w:tc>
      </w:tr>
      <w:tr w14:paraId="0315E0D6">
        <w:tblPrEx>
          <w:tblCellMar>
            <w:top w:w="0" w:type="dxa"/>
            <w:left w:w="108" w:type="dxa"/>
            <w:bottom w:w="0" w:type="dxa"/>
            <w:right w:w="108" w:type="dxa"/>
          </w:tblCellMar>
        </w:tblPrEx>
        <w:trPr>
          <w:trHeight w:val="187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66059B67">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148</w:t>
            </w:r>
          </w:p>
        </w:tc>
        <w:tc>
          <w:tcPr>
            <w:tcW w:w="535" w:type="dxa"/>
            <w:vMerge w:val="continue"/>
            <w:tcBorders>
              <w:top w:val="nil"/>
              <w:left w:val="single" w:color="auto" w:sz="4" w:space="0"/>
              <w:bottom w:val="single" w:color="000000" w:sz="4" w:space="0"/>
              <w:right w:val="single" w:color="auto" w:sz="4" w:space="0"/>
            </w:tcBorders>
            <w:vAlign w:val="center"/>
          </w:tcPr>
          <w:p w14:paraId="5F7ED9C9">
            <w:pPr>
              <w:widowControl/>
              <w:jc w:val="left"/>
              <w:rPr>
                <w:rFonts w:ascii="宋体" w:hAnsi="宋体" w:eastAsia="宋体" w:cs="宋体"/>
                <w:color w:val="000000"/>
                <w:kern w:val="0"/>
                <w:szCs w:val="21"/>
                <w14:ligatures w14:val="none"/>
              </w:rPr>
            </w:pPr>
          </w:p>
        </w:tc>
        <w:tc>
          <w:tcPr>
            <w:tcW w:w="535" w:type="dxa"/>
            <w:vMerge w:val="restart"/>
            <w:tcBorders>
              <w:top w:val="nil"/>
              <w:left w:val="single" w:color="auto" w:sz="4" w:space="0"/>
              <w:bottom w:val="single" w:color="auto" w:sz="4" w:space="0"/>
              <w:right w:val="single" w:color="auto" w:sz="4" w:space="0"/>
            </w:tcBorders>
            <w:shd w:val="clear" w:color="auto" w:fill="auto"/>
            <w:vAlign w:val="center"/>
          </w:tcPr>
          <w:p w14:paraId="1CF8FF1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科贷公司相关子系统</w:t>
            </w:r>
          </w:p>
        </w:tc>
        <w:tc>
          <w:tcPr>
            <w:tcW w:w="535" w:type="dxa"/>
            <w:tcBorders>
              <w:top w:val="nil"/>
              <w:left w:val="nil"/>
              <w:bottom w:val="single" w:color="auto" w:sz="4" w:space="0"/>
              <w:right w:val="single" w:color="auto" w:sz="4" w:space="0"/>
            </w:tcBorders>
            <w:shd w:val="clear" w:color="auto" w:fill="auto"/>
            <w:vAlign w:val="center"/>
          </w:tcPr>
          <w:p w14:paraId="74CEC28D">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贷款发放数据</w:t>
            </w:r>
          </w:p>
        </w:tc>
        <w:tc>
          <w:tcPr>
            <w:tcW w:w="6224" w:type="dxa"/>
            <w:tcBorders>
              <w:top w:val="nil"/>
              <w:left w:val="nil"/>
              <w:bottom w:val="single" w:color="auto" w:sz="4" w:space="0"/>
              <w:right w:val="single" w:color="auto" w:sz="4" w:space="0"/>
            </w:tcBorders>
            <w:shd w:val="clear" w:color="auto" w:fill="auto"/>
            <w:noWrap/>
            <w:vAlign w:val="center"/>
          </w:tcPr>
          <w:p w14:paraId="37C883FD">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和科贷公司已建设的贷款发放系统进行数据接口建设，实现科贷公司在系统中更新的贷款发放、贷款企业、贷款项目等信息和经营管理系统数据互通。</w:t>
            </w:r>
          </w:p>
        </w:tc>
      </w:tr>
      <w:tr w14:paraId="1D917F01">
        <w:tblPrEx>
          <w:tblCellMar>
            <w:top w:w="0" w:type="dxa"/>
            <w:left w:w="108" w:type="dxa"/>
            <w:bottom w:w="0" w:type="dxa"/>
            <w:right w:w="108" w:type="dxa"/>
          </w:tblCellMar>
        </w:tblPrEx>
        <w:trPr>
          <w:trHeight w:val="125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7A7A646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149</w:t>
            </w:r>
          </w:p>
        </w:tc>
        <w:tc>
          <w:tcPr>
            <w:tcW w:w="535" w:type="dxa"/>
            <w:vMerge w:val="continue"/>
            <w:tcBorders>
              <w:top w:val="nil"/>
              <w:left w:val="single" w:color="auto" w:sz="4" w:space="0"/>
              <w:bottom w:val="single" w:color="000000" w:sz="4" w:space="0"/>
              <w:right w:val="single" w:color="auto" w:sz="4" w:space="0"/>
            </w:tcBorders>
            <w:vAlign w:val="center"/>
          </w:tcPr>
          <w:p w14:paraId="355B4C7C">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396DB941">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0F853EBA">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项目数据</w:t>
            </w:r>
          </w:p>
        </w:tc>
        <w:tc>
          <w:tcPr>
            <w:tcW w:w="6224" w:type="dxa"/>
            <w:tcBorders>
              <w:top w:val="nil"/>
              <w:left w:val="nil"/>
              <w:bottom w:val="single" w:color="auto" w:sz="4" w:space="0"/>
              <w:right w:val="single" w:color="auto" w:sz="4" w:space="0"/>
            </w:tcBorders>
            <w:shd w:val="clear" w:color="auto" w:fill="auto"/>
            <w:noWrap/>
            <w:vAlign w:val="center"/>
          </w:tcPr>
          <w:p w14:paraId="3EB63101">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和科贷公司已建设的贷款发放系统进行数据接口建设，实现科贷公司在系统中更新的贷款项目等信息和经营管理系统数据互通。</w:t>
            </w:r>
          </w:p>
        </w:tc>
      </w:tr>
      <w:tr w14:paraId="384F910D">
        <w:tblPrEx>
          <w:tblCellMar>
            <w:top w:w="0" w:type="dxa"/>
            <w:left w:w="108" w:type="dxa"/>
            <w:bottom w:w="0" w:type="dxa"/>
            <w:right w:w="108" w:type="dxa"/>
          </w:tblCellMar>
        </w:tblPrEx>
        <w:trPr>
          <w:trHeight w:val="1881" w:hRule="atLeast"/>
        </w:trPr>
        <w:tc>
          <w:tcPr>
            <w:tcW w:w="667" w:type="dxa"/>
            <w:tcBorders>
              <w:top w:val="nil"/>
              <w:left w:val="single" w:color="auto" w:sz="4" w:space="0"/>
              <w:bottom w:val="single" w:color="auto" w:sz="4" w:space="0"/>
              <w:right w:val="single" w:color="auto" w:sz="4" w:space="0"/>
            </w:tcBorders>
            <w:shd w:val="clear" w:color="auto" w:fill="auto"/>
            <w:vAlign w:val="center"/>
          </w:tcPr>
          <w:p w14:paraId="33EB6F3C">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150</w:t>
            </w:r>
          </w:p>
        </w:tc>
        <w:tc>
          <w:tcPr>
            <w:tcW w:w="535" w:type="dxa"/>
            <w:vMerge w:val="continue"/>
            <w:tcBorders>
              <w:top w:val="nil"/>
              <w:left w:val="single" w:color="auto" w:sz="4" w:space="0"/>
              <w:bottom w:val="single" w:color="000000" w:sz="4" w:space="0"/>
              <w:right w:val="single" w:color="auto" w:sz="4" w:space="0"/>
            </w:tcBorders>
            <w:vAlign w:val="center"/>
          </w:tcPr>
          <w:p w14:paraId="7DBB828A">
            <w:pPr>
              <w:widowControl/>
              <w:jc w:val="left"/>
              <w:rPr>
                <w:rFonts w:ascii="宋体" w:hAnsi="宋体" w:eastAsia="宋体" w:cs="宋体"/>
                <w:color w:val="000000"/>
                <w:kern w:val="0"/>
                <w:szCs w:val="21"/>
                <w14:ligatures w14:val="none"/>
              </w:rPr>
            </w:pPr>
          </w:p>
        </w:tc>
        <w:tc>
          <w:tcPr>
            <w:tcW w:w="535" w:type="dxa"/>
            <w:vMerge w:val="continue"/>
            <w:tcBorders>
              <w:top w:val="nil"/>
              <w:left w:val="single" w:color="auto" w:sz="4" w:space="0"/>
              <w:bottom w:val="single" w:color="auto" w:sz="4" w:space="0"/>
              <w:right w:val="single" w:color="auto" w:sz="4" w:space="0"/>
            </w:tcBorders>
            <w:vAlign w:val="center"/>
          </w:tcPr>
          <w:p w14:paraId="75FB9734">
            <w:pPr>
              <w:widowControl/>
              <w:jc w:val="left"/>
              <w:rPr>
                <w:rFonts w:ascii="宋体" w:hAnsi="宋体" w:eastAsia="宋体" w:cs="宋体"/>
                <w:color w:val="000000"/>
                <w:kern w:val="0"/>
                <w:szCs w:val="21"/>
                <w14:ligatures w14:val="none"/>
              </w:rPr>
            </w:pPr>
          </w:p>
        </w:tc>
        <w:tc>
          <w:tcPr>
            <w:tcW w:w="535" w:type="dxa"/>
            <w:tcBorders>
              <w:top w:val="nil"/>
              <w:left w:val="nil"/>
              <w:bottom w:val="single" w:color="auto" w:sz="4" w:space="0"/>
              <w:right w:val="single" w:color="auto" w:sz="4" w:space="0"/>
            </w:tcBorders>
            <w:shd w:val="clear" w:color="auto" w:fill="auto"/>
            <w:vAlign w:val="center"/>
          </w:tcPr>
          <w:p w14:paraId="63E0A670">
            <w:pPr>
              <w:widowControl/>
              <w:jc w:val="center"/>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贷款回收数据</w:t>
            </w:r>
          </w:p>
        </w:tc>
        <w:tc>
          <w:tcPr>
            <w:tcW w:w="6224" w:type="dxa"/>
            <w:tcBorders>
              <w:top w:val="nil"/>
              <w:left w:val="nil"/>
              <w:bottom w:val="single" w:color="auto" w:sz="4" w:space="0"/>
              <w:right w:val="single" w:color="auto" w:sz="4" w:space="0"/>
            </w:tcBorders>
            <w:shd w:val="clear" w:color="auto" w:fill="auto"/>
            <w:noWrap/>
            <w:vAlign w:val="center"/>
          </w:tcPr>
          <w:p w14:paraId="068A1B66">
            <w:pPr>
              <w:widowControl/>
              <w:rPr>
                <w:rFonts w:ascii="宋体" w:hAnsi="宋体" w:eastAsia="宋体" w:cs="宋体"/>
                <w:color w:val="000000"/>
                <w:kern w:val="0"/>
                <w:szCs w:val="21"/>
                <w14:ligatures w14:val="none"/>
              </w:rPr>
            </w:pPr>
            <w:r>
              <w:rPr>
                <w:rFonts w:hint="eastAsia" w:ascii="宋体" w:hAnsi="宋体" w:eastAsia="宋体" w:cs="宋体"/>
                <w:color w:val="000000"/>
                <w:kern w:val="0"/>
                <w:szCs w:val="21"/>
                <w14:ligatures w14:val="none"/>
              </w:rPr>
              <w:t>和科贷公司已建设的贷款发放系统进行数据接口建设，实现科贷公司在系统中更新的贷款回收情况等信息和经营管理系统数据互通。</w:t>
            </w:r>
          </w:p>
        </w:tc>
      </w:tr>
    </w:tbl>
    <w:p w14:paraId="7A0257AE">
      <w:pPr>
        <w:tabs>
          <w:tab w:val="left" w:pos="6253"/>
        </w:tabs>
      </w:pPr>
    </w:p>
    <w:p w14:paraId="214645D5">
      <w:pPr>
        <w:tabs>
          <w:tab w:val="left" w:pos="6253"/>
        </w:tabs>
      </w:pPr>
      <w:r>
        <w:tab/>
      </w:r>
    </w:p>
    <w:p w14:paraId="7589438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sz w:val="28"/>
          <w:szCs w:val="2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D75B3B7-978D-4995-B3D6-B9B03B4B663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EF22EE4A-6882-4BEB-B7CB-853D166635EB}"/>
  </w:font>
  <w:font w:name="Calibri Light">
    <w:panose1 w:val="020F0302020204030204"/>
    <w:charset w:val="00"/>
    <w:family w:val="auto"/>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3" w:fontKey="{36628542-1725-4BBC-B849-AE4EB12AF605}"/>
  </w:font>
  <w:font w:name="微软雅黑">
    <w:panose1 w:val="020B0503020204020204"/>
    <w:charset w:val="86"/>
    <w:family w:val="auto"/>
    <w:pitch w:val="default"/>
    <w:sig w:usb0="80000287" w:usb1="2ACF3C50" w:usb2="00000016" w:usb3="00000000" w:csb0="0004001F" w:csb1="00000000"/>
    <w:embedRegular r:id="rId4" w:fontKey="{D33BC9E3-92A8-49DE-8C74-B9806E470523}"/>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embedRegular r:id="rId5" w:fontKey="{E8967B7F-5719-4B11-935D-85BEA189395A}"/>
  </w:font>
  <w:font w:name="inherit">
    <w:altName w:val="Segoe Print"/>
    <w:panose1 w:val="00000000000000000000"/>
    <w:charset w:val="00"/>
    <w:family w:val="roman"/>
    <w:pitch w:val="default"/>
    <w:sig w:usb0="00000000" w:usb1="00000000" w:usb2="00000000" w:usb3="00000000" w:csb0="00000000" w:csb1="00000000"/>
    <w:embedRegular r:id="rId6" w:fontKey="{F4EDEE40-7A0C-4E67-9FA2-82171F43BF66}"/>
  </w:font>
  <w:font w:name="Segoe Print">
    <w:panose1 w:val="02000600000000000000"/>
    <w:charset w:val="00"/>
    <w:family w:val="auto"/>
    <w:pitch w:val="default"/>
    <w:sig w:usb0="0000028F" w:usb1="00000000" w:usb2="00000000" w:usb3="00000000" w:csb0="2000009F" w:csb1="47010000"/>
  </w:font>
  <w:font w:name="Times New Roman Regular">
    <w:altName w:val="Times New Roman"/>
    <w:panose1 w:val="02020503050405090304"/>
    <w:charset w:val="00"/>
    <w:family w:val="auto"/>
    <w:pitch w:val="default"/>
    <w:sig w:usb0="00000000" w:usb1="00000000" w:usb2="00000001" w:usb3="00000000" w:csb0="400001BF" w:csb1="DFF70000"/>
    <w:embedRegular r:id="rId7" w:fontKey="{ED1919E5-A09D-4B88-B002-3114C1D0F395}"/>
  </w:font>
  <w:font w:name="方正小标宋_GBK">
    <w:panose1 w:val="02000000000000000000"/>
    <w:charset w:val="86"/>
    <w:family w:val="auto"/>
    <w:pitch w:val="default"/>
    <w:sig w:usb0="A00002BF" w:usb1="38CF7CFA" w:usb2="00082016" w:usb3="00000000" w:csb0="00040001" w:csb1="00000000"/>
    <w:embedRegular r:id="rId8" w:fontKey="{E08F6BF2-079E-4F12-A9DD-8600BAB356BE}"/>
  </w:font>
  <w:font w:name="等线">
    <w:panose1 w:val="02010600030101010101"/>
    <w:charset w:val="86"/>
    <w:family w:val="auto"/>
    <w:pitch w:val="default"/>
    <w:sig w:usb0="A00002BF" w:usb1="38CF7CFA" w:usb2="00000016" w:usb3="00000000" w:csb0="0004000F" w:csb1="00000000"/>
    <w:embedRegular r:id="rId9" w:fontKey="{6411BE94-3F85-498A-99D2-2E9701DE6457}"/>
  </w:font>
  <w:font w:name="MS Gothic">
    <w:panose1 w:val="020B0609070205080204"/>
    <w:charset w:val="80"/>
    <w:family w:val="modern"/>
    <w:pitch w:val="default"/>
    <w:sig w:usb0="E00002FF" w:usb1="6AC7FDFB" w:usb2="08000012" w:usb3="00000000" w:csb0="4002009F" w:csb1="DFD70000"/>
    <w:embedRegular r:id="rId10" w:fontKey="{73801AEC-BA90-4802-BE71-16E00D83831C}"/>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xMGI5YWM0YTcwZjQ5ZmU2Mzc0NzZkOGYzMTY1NmQifQ=="/>
  </w:docVars>
  <w:rsids>
    <w:rsidRoot w:val="1F0E3557"/>
    <w:rsid w:val="00943768"/>
    <w:rsid w:val="04B32944"/>
    <w:rsid w:val="04E978D1"/>
    <w:rsid w:val="0637421B"/>
    <w:rsid w:val="06435E2B"/>
    <w:rsid w:val="132375A2"/>
    <w:rsid w:val="1AD878C7"/>
    <w:rsid w:val="1D856CFB"/>
    <w:rsid w:val="1E830C01"/>
    <w:rsid w:val="1EE85C08"/>
    <w:rsid w:val="1F0E3557"/>
    <w:rsid w:val="20101367"/>
    <w:rsid w:val="219857D3"/>
    <w:rsid w:val="21D97B35"/>
    <w:rsid w:val="236E5CF9"/>
    <w:rsid w:val="3011493E"/>
    <w:rsid w:val="34E33814"/>
    <w:rsid w:val="358E2F3A"/>
    <w:rsid w:val="3F3D7326"/>
    <w:rsid w:val="3F671754"/>
    <w:rsid w:val="400E68C5"/>
    <w:rsid w:val="4AC004C4"/>
    <w:rsid w:val="4B933CDD"/>
    <w:rsid w:val="4BBB4393"/>
    <w:rsid w:val="4D372F12"/>
    <w:rsid w:val="4FBC1800"/>
    <w:rsid w:val="52D214D4"/>
    <w:rsid w:val="56D40D3F"/>
    <w:rsid w:val="581A0D6B"/>
    <w:rsid w:val="5EDC45D0"/>
    <w:rsid w:val="60A410D1"/>
    <w:rsid w:val="60CE5DB0"/>
    <w:rsid w:val="65BB4EBC"/>
    <w:rsid w:val="67185AB0"/>
    <w:rsid w:val="677423C6"/>
    <w:rsid w:val="677A75D3"/>
    <w:rsid w:val="687B2614"/>
    <w:rsid w:val="69B52799"/>
    <w:rsid w:val="6B8B77E1"/>
    <w:rsid w:val="6BC63A7A"/>
    <w:rsid w:val="6EAD1DDD"/>
    <w:rsid w:val="726C7DA5"/>
    <w:rsid w:val="73AA7753"/>
    <w:rsid w:val="76A37770"/>
    <w:rsid w:val="7775502F"/>
    <w:rsid w:val="7A8700CF"/>
    <w:rsid w:val="7BF344C5"/>
    <w:rsid w:val="7F9127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1"/>
    <w:basedOn w:val="1"/>
    <w:next w:val="1"/>
    <w:unhideWhenUsed/>
    <w:qFormat/>
    <w:uiPriority w:val="39"/>
    <w:pPr>
      <w:spacing w:before="120" w:after="120"/>
      <w:jc w:val="left"/>
    </w:pPr>
    <w:rPr>
      <w:rFonts w:eastAsiaTheme="minorHAnsi"/>
      <w:b/>
      <w:bCs/>
      <w:caps/>
      <w:sz w:val="20"/>
      <w:szCs w:val="20"/>
    </w:rPr>
  </w:style>
  <w:style w:type="paragraph" w:styleId="4">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Pages>
  <Words>1256</Words>
  <Characters>1295</Characters>
  <Lines>0</Lines>
  <Paragraphs>0</Paragraphs>
  <TotalTime>3</TotalTime>
  <ScaleCrop>false</ScaleCrop>
  <LinksUpToDate>false</LinksUpToDate>
  <CharactersWithSpaces>1303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2025-05-13T07:50:00Z</dcterms:created>
  <dc:creator>王聪</dc:creator>
  <cp:lastModifiedBy>王聪</cp:lastModifiedBy>
  <cp:lastPrinted>2025-05-13T09:35:00Z</cp:lastPrinted>
  <dcterms:modified xsi:type="dcterms:W3CDTF">2025-09-25T07:51:57Z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9E58CC307BE84437851B478E0CA770BA_13</vt:lpwstr>
  </property>
  <property fmtid="{D5CDD505-2E9C-101B-9397-08002B2CF9AE}" pid="4" name="KSOTemplateDocerSaveRecord">
    <vt:lpwstr>eyJoZGlkIjoiOWExMGI5YWM0YTcwZjQ5ZmU2Mzc0NzZkOGYzMTY1NmQiLCJ1c2VySWQiOiIxNTYwNzQ0NDU4In0=</vt:lpwstr>
  </property>
</Properties>
</file>