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57DBBD">
      <w:pPr>
        <w:jc w:val="center"/>
        <w:rPr>
          <w:rFonts w:hint="default" w:ascii="Times New Roman" w:hAnsi="Times New Roman" w:eastAsia="仿宋" w:cs="Times New Roman"/>
          <w:b/>
          <w:bCs/>
          <w:sz w:val="36"/>
          <w:szCs w:val="36"/>
        </w:rPr>
      </w:pPr>
      <w:bookmarkStart w:id="0" w:name="OLE_LINK2"/>
      <w:bookmarkStart w:id="1" w:name="OLE_LINK1"/>
      <w:bookmarkStart w:id="2" w:name="OLE_LINK10"/>
      <w:bookmarkStart w:id="3" w:name="_Hlk67319180"/>
      <w:r>
        <w:rPr>
          <w:rFonts w:hint="default" w:ascii="Times New Roman" w:hAnsi="Times New Roman" w:eastAsia="仿宋" w:cs="Times New Roman"/>
          <w:b/>
          <w:bCs/>
          <w:sz w:val="36"/>
          <w:szCs w:val="36"/>
        </w:rPr>
        <w:t>合资新设成都</w:t>
      </w:r>
      <w:r>
        <w:rPr>
          <w:rFonts w:hint="eastAsia" w:ascii="Times New Roman" w:hAnsi="Times New Roman" w:eastAsia="仿宋" w:cs="Times New Roman"/>
          <w:b/>
          <w:bCs/>
          <w:sz w:val="36"/>
          <w:szCs w:val="36"/>
          <w:lang w:val="en-US" w:eastAsia="zh-CN"/>
        </w:rPr>
        <w:t>某科技</w:t>
      </w:r>
      <w:r>
        <w:rPr>
          <w:rFonts w:hint="default" w:ascii="Times New Roman" w:hAnsi="Times New Roman" w:eastAsia="仿宋" w:cs="Times New Roman"/>
          <w:b/>
          <w:bCs/>
          <w:sz w:val="36"/>
          <w:szCs w:val="36"/>
        </w:rPr>
        <w:t>服务公司法律尽职调查</w:t>
      </w:r>
    </w:p>
    <w:p w14:paraId="50893B91">
      <w:pPr>
        <w:jc w:val="center"/>
        <w:rPr>
          <w:rFonts w:hint="default" w:ascii="Times New Roman" w:hAnsi="Times New Roman" w:eastAsia="仿宋" w:cs="Times New Roman"/>
          <w:b/>
          <w:bCs/>
          <w:sz w:val="36"/>
          <w:szCs w:val="36"/>
        </w:rPr>
      </w:pPr>
      <w:r>
        <w:rPr>
          <w:rFonts w:hint="default" w:ascii="Times New Roman" w:hAnsi="Times New Roman" w:eastAsia="仿宋" w:cs="Times New Roman"/>
          <w:b/>
          <w:bCs/>
          <w:sz w:val="36"/>
          <w:szCs w:val="36"/>
        </w:rPr>
        <w:t>服务采购</w:t>
      </w:r>
      <w:bookmarkEnd w:id="0"/>
      <w:r>
        <w:rPr>
          <w:rFonts w:hint="default" w:ascii="Times New Roman" w:hAnsi="Times New Roman" w:eastAsia="仿宋" w:cs="Times New Roman"/>
          <w:b/>
          <w:bCs/>
          <w:sz w:val="36"/>
          <w:szCs w:val="36"/>
        </w:rPr>
        <w:t>项目</w:t>
      </w:r>
    </w:p>
    <w:bookmarkEnd w:id="1"/>
    <w:bookmarkEnd w:id="2"/>
    <w:bookmarkEnd w:id="3"/>
    <w:p w14:paraId="60B191C3">
      <w:pPr>
        <w:jc w:val="center"/>
        <w:rPr>
          <w:rFonts w:hint="default" w:ascii="Times New Roman" w:hAnsi="Times New Roman" w:eastAsia="仿宋" w:cs="Times New Roman"/>
          <w:b/>
          <w:bCs/>
          <w:sz w:val="44"/>
          <w:szCs w:val="44"/>
        </w:rPr>
      </w:pPr>
    </w:p>
    <w:p w14:paraId="40737FEA">
      <w:pPr>
        <w:jc w:val="center"/>
        <w:rPr>
          <w:rFonts w:hint="default" w:ascii="Times New Roman" w:hAnsi="Times New Roman" w:eastAsia="方正小标宋简体" w:cs="Times New Roman"/>
          <w:spacing w:val="-20"/>
          <w:sz w:val="96"/>
          <w:szCs w:val="44"/>
        </w:rPr>
      </w:pPr>
      <w:r>
        <w:rPr>
          <w:rFonts w:hint="default" w:ascii="Times New Roman" w:hAnsi="Times New Roman" w:eastAsia="方正小标宋简体" w:cs="Times New Roman"/>
          <w:spacing w:val="-20"/>
          <w:sz w:val="96"/>
          <w:szCs w:val="44"/>
        </w:rPr>
        <w:t>询</w:t>
      </w:r>
    </w:p>
    <w:p w14:paraId="036528DB">
      <w:pPr>
        <w:jc w:val="center"/>
        <w:rPr>
          <w:rFonts w:hint="default" w:ascii="Times New Roman" w:hAnsi="Times New Roman" w:eastAsia="方正小标宋简体" w:cs="Times New Roman"/>
          <w:spacing w:val="-20"/>
          <w:sz w:val="96"/>
          <w:szCs w:val="44"/>
        </w:rPr>
      </w:pPr>
      <w:r>
        <w:rPr>
          <w:rFonts w:hint="default" w:ascii="Times New Roman" w:hAnsi="Times New Roman" w:eastAsia="方正小标宋简体" w:cs="Times New Roman"/>
          <w:spacing w:val="-20"/>
          <w:sz w:val="96"/>
          <w:szCs w:val="44"/>
        </w:rPr>
        <w:t>价</w:t>
      </w:r>
    </w:p>
    <w:p w14:paraId="56E7FC9E">
      <w:pPr>
        <w:jc w:val="center"/>
        <w:rPr>
          <w:rFonts w:hint="default" w:ascii="Times New Roman" w:hAnsi="Times New Roman" w:eastAsia="方正小标宋简体" w:cs="Times New Roman"/>
          <w:spacing w:val="-20"/>
          <w:sz w:val="96"/>
          <w:szCs w:val="44"/>
        </w:rPr>
      </w:pPr>
      <w:r>
        <w:rPr>
          <w:rFonts w:hint="default" w:ascii="Times New Roman" w:hAnsi="Times New Roman" w:eastAsia="方正小标宋简体" w:cs="Times New Roman"/>
          <w:spacing w:val="-20"/>
          <w:sz w:val="96"/>
          <w:szCs w:val="44"/>
        </w:rPr>
        <w:t>文</w:t>
      </w:r>
    </w:p>
    <w:p w14:paraId="2956DD69">
      <w:pPr>
        <w:jc w:val="center"/>
        <w:rPr>
          <w:rFonts w:hint="default" w:ascii="Times New Roman" w:hAnsi="Times New Roman" w:eastAsia="方正小标宋简体" w:cs="Times New Roman"/>
          <w:spacing w:val="-20"/>
          <w:sz w:val="96"/>
          <w:szCs w:val="44"/>
        </w:rPr>
      </w:pPr>
      <w:r>
        <w:rPr>
          <w:rFonts w:hint="default" w:ascii="Times New Roman" w:hAnsi="Times New Roman" w:eastAsia="方正小标宋简体" w:cs="Times New Roman"/>
          <w:spacing w:val="-20"/>
          <w:sz w:val="96"/>
          <w:szCs w:val="44"/>
        </w:rPr>
        <w:t>件</w:t>
      </w:r>
    </w:p>
    <w:p w14:paraId="4FB38951">
      <w:pPr>
        <w:spacing w:line="560" w:lineRule="exact"/>
        <w:jc w:val="center"/>
        <w:rPr>
          <w:rFonts w:hint="default" w:ascii="Times New Roman" w:hAnsi="Times New Roman" w:eastAsia="方正小标宋简体" w:cs="Times New Roman"/>
          <w:spacing w:val="-20"/>
          <w:sz w:val="72"/>
          <w:szCs w:val="44"/>
        </w:rPr>
      </w:pPr>
    </w:p>
    <w:p w14:paraId="583B8CF7">
      <w:pPr>
        <w:spacing w:line="560" w:lineRule="exact"/>
        <w:jc w:val="center"/>
        <w:rPr>
          <w:rFonts w:hint="default" w:ascii="Times New Roman" w:hAnsi="Times New Roman" w:eastAsia="方正小标宋简体" w:cs="Times New Roman"/>
          <w:spacing w:val="-20"/>
          <w:sz w:val="72"/>
          <w:szCs w:val="44"/>
        </w:rPr>
      </w:pPr>
    </w:p>
    <w:p w14:paraId="50FE4305">
      <w:pPr>
        <w:spacing w:line="560" w:lineRule="exact"/>
        <w:jc w:val="center"/>
        <w:rPr>
          <w:rFonts w:hint="default" w:ascii="Times New Roman" w:hAnsi="Times New Roman" w:eastAsia="方正小标宋简体" w:cs="Times New Roman"/>
          <w:spacing w:val="-20"/>
          <w:sz w:val="72"/>
          <w:szCs w:val="44"/>
        </w:rPr>
      </w:pPr>
    </w:p>
    <w:p w14:paraId="54E621EE">
      <w:pPr>
        <w:spacing w:line="560" w:lineRule="exact"/>
        <w:jc w:val="center"/>
        <w:rPr>
          <w:rFonts w:hint="default" w:ascii="Times New Roman" w:hAnsi="Times New Roman" w:eastAsia="方正小标宋简体" w:cs="Times New Roman"/>
          <w:spacing w:val="-20"/>
          <w:sz w:val="72"/>
          <w:szCs w:val="44"/>
        </w:rPr>
      </w:pPr>
    </w:p>
    <w:p w14:paraId="0B27CB3E">
      <w:pPr>
        <w:spacing w:line="560" w:lineRule="exact"/>
        <w:jc w:val="center"/>
        <w:rPr>
          <w:rFonts w:hint="default" w:ascii="Times New Roman" w:hAnsi="Times New Roman" w:eastAsia="方正小标宋简体" w:cs="Times New Roman"/>
          <w:spacing w:val="-20"/>
          <w:sz w:val="36"/>
          <w:szCs w:val="44"/>
        </w:rPr>
      </w:pPr>
      <w:r>
        <w:rPr>
          <w:rFonts w:hint="default" w:ascii="Times New Roman" w:hAnsi="Times New Roman" w:eastAsia="方正小标宋简体" w:cs="Times New Roman"/>
          <w:spacing w:val="-20"/>
          <w:sz w:val="36"/>
          <w:szCs w:val="44"/>
        </w:rPr>
        <w:t>成都高投盈创动力投资发展有限公司</w:t>
      </w:r>
    </w:p>
    <w:p w14:paraId="74B6B49E">
      <w:pPr>
        <w:spacing w:line="560" w:lineRule="exact"/>
        <w:jc w:val="center"/>
        <w:rPr>
          <w:rFonts w:hint="default" w:ascii="Times New Roman" w:hAnsi="Times New Roman" w:eastAsia="方正小标宋简体" w:cs="Times New Roman"/>
          <w:spacing w:val="-20"/>
          <w:sz w:val="36"/>
          <w:szCs w:val="44"/>
        </w:rPr>
      </w:pPr>
      <w:r>
        <w:rPr>
          <w:rFonts w:hint="default" w:ascii="Times New Roman" w:hAnsi="Times New Roman" w:eastAsia="方正小标宋简体" w:cs="Times New Roman"/>
          <w:spacing w:val="-20"/>
          <w:sz w:val="36"/>
          <w:szCs w:val="44"/>
        </w:rPr>
        <w:t>202</w:t>
      </w:r>
      <w:r>
        <w:rPr>
          <w:rFonts w:hint="default" w:ascii="Times New Roman" w:hAnsi="Times New Roman" w:eastAsia="方正小标宋简体" w:cs="Times New Roman"/>
          <w:spacing w:val="-20"/>
          <w:sz w:val="36"/>
          <w:szCs w:val="44"/>
          <w:lang w:val="en-US" w:eastAsia="zh-CN"/>
        </w:rPr>
        <w:t>6</w:t>
      </w:r>
      <w:r>
        <w:rPr>
          <w:rFonts w:hint="default" w:ascii="Times New Roman" w:hAnsi="Times New Roman" w:eastAsia="方正小标宋简体" w:cs="Times New Roman"/>
          <w:spacing w:val="-20"/>
          <w:sz w:val="36"/>
          <w:szCs w:val="44"/>
        </w:rPr>
        <w:t>年</w:t>
      </w:r>
      <w:r>
        <w:rPr>
          <w:rFonts w:hint="default" w:ascii="Times New Roman" w:hAnsi="Times New Roman" w:eastAsia="方正小标宋简体" w:cs="Times New Roman"/>
          <w:spacing w:val="-20"/>
          <w:sz w:val="36"/>
          <w:szCs w:val="44"/>
          <w:lang w:val="en-US" w:eastAsia="zh-CN"/>
        </w:rPr>
        <w:t>1</w:t>
      </w:r>
      <w:r>
        <w:rPr>
          <w:rFonts w:hint="default" w:ascii="Times New Roman" w:hAnsi="Times New Roman" w:eastAsia="方正小标宋简体" w:cs="Times New Roman"/>
          <w:spacing w:val="-20"/>
          <w:sz w:val="36"/>
          <w:szCs w:val="44"/>
        </w:rPr>
        <w:t>月</w:t>
      </w:r>
    </w:p>
    <w:p w14:paraId="2383B2F5">
      <w:pPr>
        <w:widowControl/>
        <w:jc w:val="left"/>
        <w:rPr>
          <w:rFonts w:hint="default" w:ascii="Times New Roman" w:hAnsi="Times New Roman" w:eastAsia="方正小标宋简体" w:cs="Times New Roman"/>
          <w:spacing w:val="-20"/>
          <w:sz w:val="36"/>
          <w:szCs w:val="44"/>
        </w:rPr>
      </w:pPr>
      <w:r>
        <w:rPr>
          <w:rFonts w:hint="default" w:ascii="Times New Roman" w:hAnsi="Times New Roman" w:eastAsia="方正小标宋简体" w:cs="Times New Roman"/>
          <w:spacing w:val="-20"/>
          <w:sz w:val="36"/>
          <w:szCs w:val="44"/>
        </w:rPr>
        <w:br w:type="page"/>
      </w:r>
    </w:p>
    <w:p w14:paraId="1B38298D">
      <w:pPr>
        <w:widowControl/>
        <w:spacing w:line="600" w:lineRule="exact"/>
        <w:ind w:firstLine="640" w:firstLineChars="200"/>
        <w:textAlignment w:val="baseline"/>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本公司将以询价采购的方式确定</w:t>
      </w:r>
      <w:r>
        <w:rPr>
          <w:rFonts w:hint="default" w:ascii="Times New Roman" w:hAnsi="Times New Roman" w:eastAsia="仿宋_GB2312" w:cs="Times New Roman"/>
          <w:kern w:val="0"/>
          <w:sz w:val="32"/>
          <w:szCs w:val="32"/>
          <w:u w:val="single"/>
        </w:rPr>
        <w:t xml:space="preserve"> 1家 </w:t>
      </w:r>
      <w:r>
        <w:rPr>
          <w:rFonts w:hint="default" w:ascii="Times New Roman" w:hAnsi="Times New Roman" w:eastAsia="仿宋_GB2312" w:cs="Times New Roman"/>
          <w:color w:val="000000"/>
          <w:kern w:val="0"/>
          <w:sz w:val="32"/>
          <w:szCs w:val="32"/>
        </w:rPr>
        <w:t>服务单位，现将有关事项说明如下:</w:t>
      </w:r>
    </w:p>
    <w:p w14:paraId="1D1B14C2">
      <w:pPr>
        <w:widowControl/>
        <w:spacing w:line="600" w:lineRule="exact"/>
        <w:ind w:firstLine="640" w:firstLineChars="200"/>
        <w:textAlignment w:val="baseline"/>
        <w:rPr>
          <w:rFonts w:hint="default" w:ascii="Times New Roman" w:hAnsi="Times New Roman" w:eastAsia="黑体" w:cs="Times New Roman"/>
          <w:bCs/>
          <w:color w:val="000000"/>
          <w:kern w:val="0"/>
          <w:sz w:val="32"/>
          <w:szCs w:val="32"/>
        </w:rPr>
      </w:pPr>
      <w:r>
        <w:rPr>
          <w:rFonts w:hint="default" w:ascii="Times New Roman" w:hAnsi="Times New Roman" w:eastAsia="黑体" w:cs="Times New Roman"/>
          <w:bCs/>
          <w:color w:val="000000"/>
          <w:kern w:val="0"/>
          <w:sz w:val="32"/>
          <w:szCs w:val="32"/>
        </w:rPr>
        <w:t>一、注意事项</w:t>
      </w:r>
    </w:p>
    <w:p w14:paraId="336F9A86">
      <w:pPr>
        <w:widowControl/>
        <w:spacing w:line="600" w:lineRule="exact"/>
        <w:ind w:firstLine="640" w:firstLineChars="200"/>
        <w:textAlignment w:val="baseline"/>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1、报</w:t>
      </w:r>
      <w:r>
        <w:rPr>
          <w:rFonts w:hint="default" w:ascii="Times New Roman" w:hAnsi="Times New Roman" w:eastAsia="仿宋_GB2312" w:cs="Times New Roman"/>
          <w:kern w:val="0"/>
          <w:sz w:val="32"/>
          <w:szCs w:val="32"/>
        </w:rPr>
        <w:t>价单位应就以下询价要求，在</w:t>
      </w:r>
      <w:r>
        <w:rPr>
          <w:rFonts w:hint="default" w:ascii="Times New Roman" w:hAnsi="Times New Roman" w:eastAsia="仿宋_GB2312" w:cs="Times New Roman"/>
          <w:color w:val="auto"/>
          <w:kern w:val="0"/>
          <w:sz w:val="32"/>
          <w:szCs w:val="32"/>
          <w:highlight w:val="none"/>
          <w:u w:val="single"/>
        </w:rPr>
        <w:t>202</w:t>
      </w:r>
      <w:r>
        <w:rPr>
          <w:rFonts w:hint="default" w:ascii="Times New Roman" w:hAnsi="Times New Roman" w:eastAsia="仿宋_GB2312" w:cs="Times New Roman"/>
          <w:color w:val="auto"/>
          <w:kern w:val="0"/>
          <w:sz w:val="32"/>
          <w:szCs w:val="32"/>
          <w:highlight w:val="none"/>
          <w:u w:val="single"/>
          <w:lang w:val="en-US" w:eastAsia="zh-CN"/>
        </w:rPr>
        <w:t>6</w:t>
      </w:r>
      <w:r>
        <w:rPr>
          <w:rFonts w:hint="default" w:ascii="Times New Roman" w:hAnsi="Times New Roman" w:eastAsia="仿宋_GB2312" w:cs="Times New Roman"/>
          <w:color w:val="auto"/>
          <w:kern w:val="0"/>
          <w:sz w:val="32"/>
          <w:szCs w:val="32"/>
          <w:highlight w:val="none"/>
        </w:rPr>
        <w:t>年</w:t>
      </w:r>
      <w:r>
        <w:rPr>
          <w:rFonts w:hint="default" w:ascii="Times New Roman" w:hAnsi="Times New Roman" w:eastAsia="仿宋_GB2312" w:cs="Times New Roman"/>
          <w:color w:val="auto"/>
          <w:kern w:val="0"/>
          <w:sz w:val="32"/>
          <w:szCs w:val="32"/>
          <w:highlight w:val="none"/>
          <w:u w:val="single"/>
          <w:lang w:val="en-US" w:eastAsia="zh-CN"/>
        </w:rPr>
        <w:t>1</w:t>
      </w:r>
      <w:r>
        <w:rPr>
          <w:rFonts w:hint="default" w:ascii="Times New Roman" w:hAnsi="Times New Roman" w:eastAsia="仿宋_GB2312" w:cs="Times New Roman"/>
          <w:color w:val="auto"/>
          <w:kern w:val="0"/>
          <w:sz w:val="32"/>
          <w:szCs w:val="32"/>
          <w:highlight w:val="none"/>
        </w:rPr>
        <w:t>月</w:t>
      </w:r>
      <w:r>
        <w:rPr>
          <w:rFonts w:hint="default" w:ascii="Times New Roman" w:hAnsi="Times New Roman" w:eastAsia="仿宋_GB2312" w:cs="Times New Roman"/>
          <w:color w:val="auto"/>
          <w:kern w:val="0"/>
          <w:sz w:val="32"/>
          <w:szCs w:val="32"/>
          <w:highlight w:val="none"/>
          <w:u w:val="single"/>
        </w:rPr>
        <w:t xml:space="preserve"> </w:t>
      </w:r>
      <w:r>
        <w:rPr>
          <w:rFonts w:hint="eastAsia" w:ascii="Times New Roman" w:hAnsi="Times New Roman" w:eastAsia="仿宋_GB2312" w:cs="Times New Roman"/>
          <w:color w:val="auto"/>
          <w:kern w:val="0"/>
          <w:sz w:val="32"/>
          <w:szCs w:val="32"/>
          <w:highlight w:val="none"/>
          <w:u w:val="single"/>
          <w:lang w:val="en-US" w:eastAsia="zh-CN"/>
        </w:rPr>
        <w:t>27</w:t>
      </w:r>
      <w:r>
        <w:rPr>
          <w:rFonts w:hint="default" w:ascii="Times New Roman" w:hAnsi="Times New Roman" w:eastAsia="仿宋_GB2312" w:cs="Times New Roman"/>
          <w:color w:val="auto"/>
          <w:kern w:val="0"/>
          <w:sz w:val="32"/>
          <w:szCs w:val="32"/>
          <w:highlight w:val="none"/>
          <w:u w:val="single"/>
        </w:rPr>
        <w:t xml:space="preserve"> </w:t>
      </w:r>
      <w:r>
        <w:rPr>
          <w:rFonts w:hint="default" w:ascii="Times New Roman" w:hAnsi="Times New Roman" w:eastAsia="仿宋_GB2312" w:cs="Times New Roman"/>
          <w:color w:val="auto"/>
          <w:kern w:val="0"/>
          <w:sz w:val="32"/>
          <w:szCs w:val="32"/>
          <w:highlight w:val="none"/>
        </w:rPr>
        <w:t>日</w:t>
      </w:r>
      <w:r>
        <w:rPr>
          <w:rFonts w:hint="eastAsia" w:ascii="Times New Roman" w:hAnsi="Times New Roman" w:eastAsia="仿宋_GB2312" w:cs="Times New Roman"/>
          <w:color w:val="auto"/>
          <w:kern w:val="0"/>
          <w:sz w:val="32"/>
          <w:szCs w:val="32"/>
          <w:highlight w:val="none"/>
          <w:lang w:eastAsia="zh-CN"/>
        </w:rPr>
        <w:t>下</w:t>
      </w:r>
      <w:bookmarkStart w:id="4" w:name="_GoBack"/>
      <w:bookmarkEnd w:id="4"/>
      <w:r>
        <w:rPr>
          <w:rFonts w:hint="default" w:ascii="Times New Roman" w:hAnsi="Times New Roman" w:eastAsia="仿宋_GB2312" w:cs="Times New Roman"/>
          <w:kern w:val="0"/>
          <w:sz w:val="32"/>
          <w:szCs w:val="32"/>
        </w:rPr>
        <w:t>午</w:t>
      </w:r>
      <w:r>
        <w:rPr>
          <w:rFonts w:hint="default" w:ascii="Times New Roman" w:hAnsi="Times New Roman" w:eastAsia="仿宋_GB2312" w:cs="Times New Roman"/>
          <w:kern w:val="0"/>
          <w:sz w:val="32"/>
          <w:szCs w:val="32"/>
          <w:u w:val="single"/>
        </w:rPr>
        <w:t>1</w:t>
      </w:r>
      <w:r>
        <w:rPr>
          <w:rFonts w:hint="eastAsia" w:ascii="Times New Roman" w:hAnsi="Times New Roman" w:eastAsia="仿宋_GB2312" w:cs="Times New Roman"/>
          <w:kern w:val="0"/>
          <w:sz w:val="32"/>
          <w:szCs w:val="32"/>
          <w:u w:val="single"/>
          <w:lang w:val="en-US" w:eastAsia="zh-CN"/>
        </w:rPr>
        <w:t>4</w:t>
      </w:r>
      <w:r>
        <w:rPr>
          <w:rFonts w:hint="default" w:ascii="Times New Roman" w:hAnsi="Times New Roman" w:eastAsia="仿宋_GB2312" w:cs="Times New Roman"/>
          <w:kern w:val="0"/>
          <w:sz w:val="32"/>
          <w:szCs w:val="32"/>
          <w:u w:val="single"/>
        </w:rPr>
        <w:t>:00</w:t>
      </w:r>
      <w:r>
        <w:rPr>
          <w:rFonts w:hint="default" w:ascii="Times New Roman" w:hAnsi="Times New Roman" w:eastAsia="仿宋_GB2312" w:cs="Times New Roman"/>
          <w:kern w:val="0"/>
          <w:sz w:val="32"/>
          <w:szCs w:val="32"/>
        </w:rPr>
        <w:t>时前，向成都高投盈创动力投资发展有限公司（以下简称“盈创公司”）做</w:t>
      </w:r>
      <w:r>
        <w:rPr>
          <w:rFonts w:hint="default" w:ascii="Times New Roman" w:hAnsi="Times New Roman" w:eastAsia="仿宋_GB2312" w:cs="Times New Roman"/>
          <w:color w:val="000000"/>
          <w:kern w:val="0"/>
          <w:sz w:val="32"/>
          <w:szCs w:val="32"/>
        </w:rPr>
        <w:t>出一次性书面报价。该报价一经盈创公司认可，即为签约的合同价。</w:t>
      </w:r>
    </w:p>
    <w:p w14:paraId="20ACE8D0">
      <w:pPr>
        <w:widowControl/>
        <w:spacing w:line="600" w:lineRule="exact"/>
        <w:ind w:firstLine="640" w:firstLineChars="200"/>
        <w:textAlignment w:val="baseline"/>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2、报价单位可以不对盈创公司的询价文件做出报价，但一经做出报价，即不可撤回。否则，该报价单位在今后一年内不得参与我公司的所有招投标、择优询价等活动。</w:t>
      </w:r>
    </w:p>
    <w:p w14:paraId="1A1B8F7C">
      <w:pPr>
        <w:widowControl/>
        <w:spacing w:line="600" w:lineRule="exact"/>
        <w:ind w:firstLine="640" w:firstLineChars="200"/>
        <w:textAlignment w:val="baseline"/>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3、签约方的报价表将作为合同的组成部分。</w:t>
      </w:r>
    </w:p>
    <w:p w14:paraId="4D474EB9">
      <w:pPr>
        <w:widowControl/>
        <w:spacing w:line="600" w:lineRule="exact"/>
        <w:ind w:firstLine="640" w:firstLineChars="200"/>
        <w:rPr>
          <w:rFonts w:hint="default" w:ascii="Times New Roman" w:hAnsi="Times New Roman" w:eastAsia="黑体" w:cs="Times New Roman"/>
          <w:bCs/>
          <w:color w:val="000000"/>
          <w:kern w:val="0"/>
          <w:sz w:val="32"/>
          <w:szCs w:val="32"/>
        </w:rPr>
      </w:pPr>
      <w:r>
        <w:rPr>
          <w:rFonts w:hint="default" w:ascii="Times New Roman" w:hAnsi="Times New Roman" w:eastAsia="黑体" w:cs="Times New Roman"/>
          <w:bCs/>
          <w:color w:val="000000"/>
          <w:kern w:val="0"/>
          <w:sz w:val="32"/>
          <w:szCs w:val="32"/>
        </w:rPr>
        <w:t>二、项目需求</w:t>
      </w:r>
    </w:p>
    <w:p w14:paraId="065A65FF">
      <w:pPr>
        <w:widowControl/>
        <w:spacing w:line="60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盈创公司近期拟</w:t>
      </w:r>
      <w:r>
        <w:rPr>
          <w:rFonts w:hint="default" w:ascii="Times New Roman" w:hAnsi="Times New Roman" w:eastAsia="仿宋_GB2312" w:cs="Times New Roman"/>
          <w:color w:val="000000"/>
          <w:kern w:val="0"/>
          <w:sz w:val="32"/>
          <w:szCs w:val="32"/>
          <w:lang w:val="en-US" w:eastAsia="zh-CN"/>
        </w:rPr>
        <w:t>与成都</w:t>
      </w:r>
      <w:r>
        <w:rPr>
          <w:rFonts w:hint="eastAsia" w:ascii="Times New Roman" w:hAnsi="Times New Roman" w:eastAsia="仿宋_GB2312" w:cs="Times New Roman"/>
          <w:color w:val="000000"/>
          <w:kern w:val="0"/>
          <w:sz w:val="32"/>
          <w:szCs w:val="32"/>
          <w:lang w:val="en-US" w:eastAsia="zh-CN"/>
        </w:rPr>
        <w:t>某</w:t>
      </w:r>
      <w:r>
        <w:rPr>
          <w:rFonts w:hint="default" w:ascii="Times New Roman" w:hAnsi="Times New Roman" w:eastAsia="仿宋_GB2312" w:cs="Times New Roman"/>
          <w:color w:val="000000"/>
          <w:kern w:val="0"/>
          <w:sz w:val="32"/>
          <w:szCs w:val="32"/>
          <w:lang w:val="en-US" w:eastAsia="zh-CN"/>
        </w:rPr>
        <w:t>基金管理公司（以下简称“基金</w:t>
      </w:r>
      <w:r>
        <w:rPr>
          <w:rFonts w:hint="eastAsia" w:ascii="Times New Roman" w:hAnsi="Times New Roman" w:eastAsia="仿宋_GB2312" w:cs="Times New Roman"/>
          <w:color w:val="000000"/>
          <w:kern w:val="0"/>
          <w:sz w:val="32"/>
          <w:szCs w:val="32"/>
          <w:lang w:val="en-US" w:eastAsia="zh-CN"/>
        </w:rPr>
        <w:t>管理</w:t>
      </w:r>
      <w:r>
        <w:rPr>
          <w:rFonts w:hint="default" w:ascii="Times New Roman" w:hAnsi="Times New Roman" w:eastAsia="仿宋_GB2312" w:cs="Times New Roman"/>
          <w:color w:val="000000"/>
          <w:kern w:val="0"/>
          <w:sz w:val="32"/>
          <w:szCs w:val="32"/>
          <w:lang w:val="en-US" w:eastAsia="zh-CN"/>
        </w:rPr>
        <w:t>公司”）及市场化专业团队（拟</w:t>
      </w:r>
      <w:r>
        <w:rPr>
          <w:rFonts w:hint="eastAsia" w:ascii="Times New Roman" w:hAnsi="Times New Roman" w:eastAsia="仿宋_GB2312" w:cs="Times New Roman"/>
          <w:color w:val="000000"/>
          <w:kern w:val="0"/>
          <w:sz w:val="32"/>
          <w:szCs w:val="32"/>
          <w:lang w:val="en-US" w:eastAsia="zh-CN"/>
        </w:rPr>
        <w:t>设立</w:t>
      </w:r>
      <w:r>
        <w:rPr>
          <w:rFonts w:hint="default" w:ascii="Times New Roman" w:hAnsi="Times New Roman" w:eastAsia="仿宋_GB2312" w:cs="Times New Roman"/>
          <w:color w:val="000000"/>
          <w:kern w:val="0"/>
          <w:sz w:val="32"/>
          <w:szCs w:val="32"/>
          <w:lang w:val="en-US" w:eastAsia="zh-CN"/>
        </w:rPr>
        <w:t>持股平台），共同合资新设成都</w:t>
      </w:r>
      <w:r>
        <w:rPr>
          <w:rFonts w:hint="eastAsia" w:ascii="Times New Roman" w:hAnsi="Times New Roman" w:eastAsia="仿宋_GB2312" w:cs="Times New Roman"/>
          <w:color w:val="000000"/>
          <w:kern w:val="0"/>
          <w:sz w:val="32"/>
          <w:szCs w:val="32"/>
          <w:lang w:val="en-US" w:eastAsia="zh-CN"/>
        </w:rPr>
        <w:t>某科技</w:t>
      </w:r>
      <w:r>
        <w:rPr>
          <w:rFonts w:hint="default" w:ascii="Times New Roman" w:hAnsi="Times New Roman" w:eastAsia="仿宋_GB2312" w:cs="Times New Roman"/>
          <w:color w:val="000000"/>
          <w:kern w:val="0"/>
          <w:sz w:val="32"/>
          <w:szCs w:val="32"/>
          <w:lang w:val="en-US" w:eastAsia="zh-CN"/>
        </w:rPr>
        <w:t>服务公司（以下简称“合资公司”）</w:t>
      </w:r>
      <w:r>
        <w:rPr>
          <w:rFonts w:hint="eastAsia" w:ascii="Times New Roman" w:hAnsi="Times New Roman" w:eastAsia="仿宋_GB2312" w:cs="Times New Roman"/>
          <w:color w:val="000000"/>
          <w:kern w:val="0"/>
          <w:sz w:val="32"/>
          <w:szCs w:val="32"/>
          <w:lang w:val="en-US" w:eastAsia="zh-CN"/>
        </w:rPr>
        <w:t>从事</w:t>
      </w:r>
      <w:r>
        <w:rPr>
          <w:rFonts w:hint="default" w:ascii="Times New Roman" w:hAnsi="Times New Roman" w:eastAsia="仿宋_GB2312" w:cs="Times New Roman"/>
          <w:color w:val="000000"/>
          <w:kern w:val="0"/>
          <w:sz w:val="32"/>
          <w:szCs w:val="32"/>
          <w:lang w:val="en-US" w:eastAsia="zh-CN"/>
        </w:rPr>
        <w:t>投融资</w:t>
      </w:r>
      <w:r>
        <w:rPr>
          <w:rFonts w:hint="eastAsia" w:ascii="Times New Roman" w:hAnsi="Times New Roman" w:eastAsia="仿宋_GB2312" w:cs="Times New Roman"/>
          <w:color w:val="000000"/>
          <w:kern w:val="0"/>
          <w:sz w:val="32"/>
          <w:szCs w:val="32"/>
          <w:lang w:val="en-US" w:eastAsia="zh-CN"/>
        </w:rPr>
        <w:t>增值服务</w:t>
      </w:r>
      <w:r>
        <w:rPr>
          <w:rFonts w:hint="default" w:ascii="Times New Roman" w:hAnsi="Times New Roman" w:eastAsia="仿宋_GB2312" w:cs="Times New Roman"/>
          <w:color w:val="000000"/>
          <w:kern w:val="0"/>
          <w:sz w:val="32"/>
          <w:szCs w:val="32"/>
          <w:lang w:val="en-US" w:eastAsia="zh-CN"/>
        </w:rPr>
        <w:t>业务，</w:t>
      </w:r>
      <w:r>
        <w:rPr>
          <w:rFonts w:hint="default" w:ascii="Times New Roman" w:hAnsi="Times New Roman" w:eastAsia="仿宋_GB2312" w:cs="Times New Roman"/>
          <w:color w:val="000000"/>
          <w:kern w:val="0"/>
          <w:sz w:val="32"/>
          <w:szCs w:val="32"/>
        </w:rPr>
        <w:t>就此项目</w:t>
      </w:r>
      <w:r>
        <w:rPr>
          <w:rFonts w:hint="default" w:ascii="Times New Roman" w:hAnsi="Times New Roman" w:eastAsia="仿宋_GB2312" w:cs="Times New Roman"/>
          <w:color w:val="000000"/>
          <w:kern w:val="0"/>
          <w:sz w:val="32"/>
          <w:szCs w:val="32"/>
          <w:lang w:val="en-US" w:eastAsia="zh-CN"/>
        </w:rPr>
        <w:t>的</w:t>
      </w:r>
      <w:r>
        <w:rPr>
          <w:rFonts w:hint="default" w:ascii="Times New Roman" w:hAnsi="Times New Roman" w:eastAsia="仿宋_GB2312" w:cs="Times New Roman"/>
          <w:color w:val="000000"/>
          <w:kern w:val="0"/>
          <w:sz w:val="32"/>
          <w:szCs w:val="32"/>
        </w:rPr>
        <w:t>法律尽职调查服务</w:t>
      </w:r>
      <w:r>
        <w:rPr>
          <w:rFonts w:hint="default" w:ascii="Times New Roman" w:hAnsi="Times New Roman" w:eastAsia="仿宋_GB2312" w:cs="Times New Roman"/>
          <w:color w:val="000000"/>
          <w:kern w:val="0"/>
          <w:sz w:val="32"/>
          <w:szCs w:val="32"/>
          <w:lang w:val="en-US" w:eastAsia="zh-CN"/>
        </w:rPr>
        <w:t>选聘</w:t>
      </w:r>
      <w:r>
        <w:rPr>
          <w:rFonts w:hint="default" w:ascii="Times New Roman" w:hAnsi="Times New Roman" w:eastAsia="仿宋_GB2312" w:cs="Times New Roman"/>
          <w:color w:val="000000"/>
          <w:kern w:val="0"/>
          <w:sz w:val="32"/>
          <w:szCs w:val="32"/>
        </w:rPr>
        <w:t>律师事务所。</w:t>
      </w:r>
    </w:p>
    <w:p w14:paraId="46EB1535">
      <w:pPr>
        <w:widowControl/>
        <w:spacing w:line="60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此项目</w:t>
      </w:r>
      <w:r>
        <w:rPr>
          <w:rFonts w:hint="default" w:ascii="Times New Roman" w:hAnsi="Times New Roman" w:eastAsia="仿宋_GB2312" w:cs="Times New Roman"/>
          <w:color w:val="000000"/>
          <w:kern w:val="0"/>
          <w:sz w:val="32"/>
          <w:szCs w:val="32"/>
        </w:rPr>
        <w:t>法律尽职调查</w:t>
      </w:r>
      <w:r>
        <w:rPr>
          <w:rFonts w:hint="default" w:ascii="Times New Roman" w:hAnsi="Times New Roman" w:eastAsia="仿宋_GB2312" w:cs="Times New Roman"/>
          <w:color w:val="000000"/>
          <w:kern w:val="0"/>
          <w:sz w:val="32"/>
          <w:szCs w:val="32"/>
          <w:lang w:val="en-US" w:eastAsia="zh-CN"/>
        </w:rPr>
        <w:t>需</w:t>
      </w:r>
      <w:r>
        <w:rPr>
          <w:rFonts w:hint="default" w:ascii="Times New Roman" w:hAnsi="Times New Roman" w:eastAsia="仿宋_GB2312" w:cs="Times New Roman"/>
          <w:color w:val="000000"/>
          <w:kern w:val="0"/>
          <w:sz w:val="32"/>
          <w:szCs w:val="32"/>
        </w:rPr>
        <w:t>对</w:t>
      </w:r>
      <w:r>
        <w:rPr>
          <w:rFonts w:hint="eastAsia" w:ascii="Times New Roman" w:hAnsi="Times New Roman" w:eastAsia="仿宋_GB2312" w:cs="Times New Roman"/>
          <w:color w:val="000000"/>
          <w:kern w:val="0"/>
          <w:sz w:val="32"/>
          <w:szCs w:val="32"/>
          <w:lang w:val="en-US" w:eastAsia="zh-CN"/>
        </w:rPr>
        <w:t>基金管理</w:t>
      </w:r>
      <w:r>
        <w:rPr>
          <w:rFonts w:hint="default" w:ascii="Times New Roman" w:hAnsi="Times New Roman" w:eastAsia="仿宋_GB2312" w:cs="Times New Roman"/>
          <w:color w:val="000000"/>
          <w:kern w:val="0"/>
          <w:sz w:val="32"/>
          <w:szCs w:val="32"/>
          <w:lang w:val="en-US" w:eastAsia="zh-CN"/>
        </w:rPr>
        <w:t>公司、市场化专业团队的</w:t>
      </w:r>
      <w:r>
        <w:rPr>
          <w:rFonts w:hint="default" w:ascii="Times New Roman" w:hAnsi="Times New Roman" w:eastAsia="仿宋_GB2312" w:cs="Times New Roman"/>
          <w:color w:val="000000"/>
          <w:kern w:val="0"/>
          <w:sz w:val="32"/>
          <w:szCs w:val="32"/>
        </w:rPr>
        <w:t>客观事实及法律状态进行全面调查、分析并出具调查报告。分析并评价范围包括不限于以下情况：合作方主体及实控人资格资质核查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合作方资信核查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合作方背景实力调查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合作方关联方核查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合作方履约能力核查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项目法律</w:t>
      </w:r>
      <w:r>
        <w:rPr>
          <w:rFonts w:hint="default" w:ascii="Times New Roman" w:hAnsi="Times New Roman" w:eastAsia="仿宋_GB2312" w:cs="Times New Roman"/>
          <w:color w:val="000000"/>
          <w:kern w:val="0"/>
          <w:sz w:val="32"/>
          <w:szCs w:val="32"/>
          <w:lang w:val="en-US" w:eastAsia="zh-CN"/>
        </w:rPr>
        <w:t>法规</w:t>
      </w:r>
      <w:r>
        <w:rPr>
          <w:rFonts w:hint="default" w:ascii="Times New Roman" w:hAnsi="Times New Roman" w:eastAsia="仿宋_GB2312" w:cs="Times New Roman"/>
          <w:color w:val="000000"/>
          <w:kern w:val="0"/>
          <w:sz w:val="32"/>
          <w:szCs w:val="32"/>
        </w:rPr>
        <w:t>风险识别</w:t>
      </w:r>
      <w:r>
        <w:rPr>
          <w:rFonts w:hint="eastAsia" w:ascii="Times New Roman" w:hAnsi="Times New Roman" w:eastAsia="仿宋_GB2312" w:cs="Times New Roman"/>
          <w:color w:val="000000"/>
          <w:kern w:val="0"/>
          <w:sz w:val="32"/>
          <w:szCs w:val="32"/>
          <w:lang w:val="en-US" w:eastAsia="zh-CN"/>
        </w:rPr>
        <w:t>及</w:t>
      </w:r>
      <w:r>
        <w:rPr>
          <w:rFonts w:hint="default" w:ascii="Times New Roman" w:hAnsi="Times New Roman" w:eastAsia="仿宋_GB2312" w:cs="Times New Roman"/>
          <w:color w:val="000000"/>
          <w:kern w:val="0"/>
          <w:sz w:val="32"/>
          <w:szCs w:val="32"/>
        </w:rPr>
        <w:t>意见出具等。中选律师事务所也将负责提供本次</w:t>
      </w:r>
      <w:r>
        <w:rPr>
          <w:rFonts w:hint="eastAsia" w:ascii="Times New Roman" w:hAnsi="Times New Roman" w:eastAsia="仿宋_GB2312" w:cs="Times New Roman"/>
          <w:color w:val="000000"/>
          <w:kern w:val="0"/>
          <w:sz w:val="32"/>
          <w:szCs w:val="32"/>
          <w:lang w:val="en-US" w:eastAsia="zh-CN"/>
        </w:rPr>
        <w:t>投资设立合资公司</w:t>
      </w:r>
      <w:r>
        <w:rPr>
          <w:rFonts w:hint="default" w:ascii="Times New Roman" w:hAnsi="Times New Roman" w:eastAsia="仿宋_GB2312" w:cs="Times New Roman"/>
          <w:color w:val="000000"/>
          <w:kern w:val="0"/>
          <w:sz w:val="32"/>
          <w:szCs w:val="32"/>
        </w:rPr>
        <w:t>全程法律咨询，对相关法律文本在上述法律法规框架下发表法律意见。</w:t>
      </w:r>
    </w:p>
    <w:p w14:paraId="35F5A34E">
      <w:pPr>
        <w:pStyle w:val="2"/>
        <w:spacing w:line="600" w:lineRule="exact"/>
        <w:ind w:firstLine="640" w:firstLineChars="200"/>
        <w:rPr>
          <w:rFonts w:hint="default" w:ascii="Times New Roman" w:hAnsi="Times New Roman" w:eastAsia="黑体" w:cs="Times New Roman"/>
          <w:bCs/>
          <w:color w:val="000000"/>
          <w:kern w:val="0"/>
          <w:sz w:val="32"/>
          <w:szCs w:val="32"/>
        </w:rPr>
      </w:pPr>
      <w:r>
        <w:rPr>
          <w:rFonts w:hint="default" w:ascii="Times New Roman" w:hAnsi="Times New Roman" w:eastAsia="黑体" w:cs="Times New Roman"/>
          <w:bCs/>
          <w:color w:val="000000"/>
          <w:kern w:val="0"/>
          <w:sz w:val="32"/>
          <w:szCs w:val="32"/>
        </w:rPr>
        <w:t>三、询价要求</w:t>
      </w:r>
    </w:p>
    <w:tbl>
      <w:tblPr>
        <w:tblStyle w:val="11"/>
        <w:tblW w:w="86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1384"/>
        <w:gridCol w:w="6385"/>
      </w:tblGrid>
      <w:tr w14:paraId="05068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56" w:hRule="atLeast"/>
        </w:trPr>
        <w:tc>
          <w:tcPr>
            <w:tcW w:w="841" w:type="dxa"/>
            <w:vAlign w:val="center"/>
          </w:tcPr>
          <w:p w14:paraId="35916FF5">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1</w:t>
            </w:r>
          </w:p>
        </w:tc>
        <w:tc>
          <w:tcPr>
            <w:tcW w:w="1384" w:type="dxa"/>
            <w:vAlign w:val="center"/>
          </w:tcPr>
          <w:p w14:paraId="02B2EC51">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项目概况</w:t>
            </w:r>
          </w:p>
        </w:tc>
        <w:tc>
          <w:tcPr>
            <w:tcW w:w="6385" w:type="dxa"/>
          </w:tcPr>
          <w:p w14:paraId="2CD2B457">
            <w:pPr>
              <w:pStyle w:val="16"/>
              <w:widowControl/>
              <w:numPr>
                <w:ilvl w:val="0"/>
                <w:numId w:val="1"/>
              </w:numPr>
              <w:spacing w:line="360" w:lineRule="exact"/>
              <w:ind w:left="0" w:firstLineChars="0"/>
              <w:textAlignment w:val="baseline"/>
              <w:rPr>
                <w:rFonts w:hint="default" w:ascii="Times New Roman" w:hAnsi="Times New Roman" w:eastAsia="黑体" w:cs="Times New Roman"/>
                <w:color w:val="000000"/>
                <w:kern w:val="0"/>
                <w:sz w:val="24"/>
                <w:szCs w:val="28"/>
              </w:rPr>
            </w:pPr>
            <w:r>
              <w:rPr>
                <w:rFonts w:hint="default" w:ascii="Times New Roman" w:hAnsi="Times New Roman" w:eastAsia="黑体" w:cs="Times New Roman"/>
                <w:color w:val="000000"/>
                <w:kern w:val="0"/>
                <w:sz w:val="24"/>
                <w:szCs w:val="28"/>
              </w:rPr>
              <w:t>一、项目名称</w:t>
            </w:r>
          </w:p>
          <w:p w14:paraId="011C0ACC">
            <w:pPr>
              <w:widowControl/>
              <w:spacing w:line="360" w:lineRule="exact"/>
              <w:ind w:firstLine="480" w:firstLineChars="200"/>
              <w:textAlignment w:val="baseline"/>
              <w:rPr>
                <w:rFonts w:hint="default" w:ascii="Times New Roman" w:hAnsi="Times New Roman" w:eastAsia="仿宋_GB2312" w:cs="Times New Roman"/>
                <w:bCs/>
                <w:color w:val="000000"/>
                <w:kern w:val="0"/>
                <w:sz w:val="24"/>
                <w:szCs w:val="28"/>
              </w:rPr>
            </w:pPr>
            <w:r>
              <w:rPr>
                <w:rFonts w:hint="default" w:ascii="Times New Roman" w:hAnsi="Times New Roman" w:eastAsia="仿宋_GB2312" w:cs="Times New Roman"/>
                <w:bCs/>
                <w:color w:val="000000"/>
                <w:kern w:val="0"/>
                <w:sz w:val="24"/>
                <w:szCs w:val="28"/>
              </w:rPr>
              <w:t>合资新设成都某</w:t>
            </w:r>
            <w:r>
              <w:rPr>
                <w:rFonts w:hint="eastAsia" w:ascii="Times New Roman" w:hAnsi="Times New Roman" w:eastAsia="仿宋_GB2312" w:cs="Times New Roman"/>
                <w:bCs/>
                <w:color w:val="000000"/>
                <w:kern w:val="0"/>
                <w:sz w:val="24"/>
                <w:szCs w:val="28"/>
                <w:lang w:val="en-US" w:eastAsia="zh-CN"/>
              </w:rPr>
              <w:t>科技</w:t>
            </w:r>
            <w:r>
              <w:rPr>
                <w:rFonts w:hint="default" w:ascii="Times New Roman" w:hAnsi="Times New Roman" w:eastAsia="仿宋_GB2312" w:cs="Times New Roman"/>
                <w:bCs/>
                <w:color w:val="000000"/>
                <w:kern w:val="0"/>
                <w:sz w:val="24"/>
                <w:szCs w:val="28"/>
              </w:rPr>
              <w:t>服务公司法律尽职调查服务采购项目</w:t>
            </w:r>
          </w:p>
          <w:p w14:paraId="32FD79E0">
            <w:pPr>
              <w:widowControl/>
              <w:spacing w:line="360" w:lineRule="exact"/>
              <w:textAlignment w:val="baseline"/>
              <w:rPr>
                <w:rFonts w:hint="default" w:ascii="Times New Roman" w:hAnsi="Times New Roman" w:eastAsia="黑体" w:cs="Times New Roman"/>
                <w:color w:val="000000"/>
                <w:kern w:val="0"/>
                <w:sz w:val="24"/>
                <w:szCs w:val="28"/>
              </w:rPr>
            </w:pPr>
            <w:r>
              <w:rPr>
                <w:rFonts w:hint="default" w:ascii="Times New Roman" w:hAnsi="Times New Roman" w:eastAsia="黑体" w:cs="Times New Roman"/>
                <w:color w:val="000000"/>
                <w:kern w:val="0"/>
                <w:sz w:val="24"/>
                <w:szCs w:val="28"/>
              </w:rPr>
              <w:t>二、服务内容</w:t>
            </w:r>
          </w:p>
          <w:p w14:paraId="48009BF1">
            <w:pPr>
              <w:widowControl/>
              <w:spacing w:line="360" w:lineRule="exact"/>
              <w:ind w:firstLine="480" w:firstLineChars="200"/>
              <w:textAlignment w:val="baseline"/>
              <w:rPr>
                <w:rFonts w:hint="default" w:ascii="Times New Roman" w:hAnsi="Times New Roman" w:eastAsia="仿宋_GB2312" w:cs="Times New Roman"/>
                <w:color w:val="000000"/>
                <w:kern w:val="0"/>
                <w:sz w:val="24"/>
                <w:szCs w:val="28"/>
              </w:rPr>
            </w:pPr>
            <w:r>
              <w:rPr>
                <w:rFonts w:hint="default" w:ascii="Times New Roman" w:hAnsi="Times New Roman" w:eastAsia="仿宋_GB2312" w:cs="Times New Roman"/>
                <w:color w:val="000000"/>
                <w:kern w:val="0"/>
                <w:sz w:val="24"/>
                <w:szCs w:val="28"/>
              </w:rPr>
              <w:t>对基金管理公司、市场化专业团队的客观事实及法律状态进行全面调查、分析并出具调查报告。分析并评价范围包括不限于以下情况：合作方主体及实控人资格资质核查、合作方资信核查、合作方背景实力调查、合作方关联方核查、合作方履约能力核查、项目法律法规风险识别及意见出具等。中选律师事务所也将负责提供本次投资设立合资公司全程法律咨询，对相关法律文本在上述法律法规框架下发表法律意见。</w:t>
            </w:r>
          </w:p>
          <w:p w14:paraId="0021E6AA">
            <w:pPr>
              <w:widowControl/>
              <w:spacing w:line="360" w:lineRule="exact"/>
              <w:textAlignment w:val="baseline"/>
              <w:rPr>
                <w:rFonts w:hint="default" w:ascii="Times New Roman" w:hAnsi="Times New Roman" w:eastAsia="黑体" w:cs="Times New Roman"/>
                <w:color w:val="000000"/>
                <w:kern w:val="0"/>
                <w:sz w:val="24"/>
                <w:szCs w:val="28"/>
              </w:rPr>
            </w:pPr>
            <w:r>
              <w:rPr>
                <w:rFonts w:hint="default" w:ascii="Times New Roman" w:hAnsi="Times New Roman" w:eastAsia="黑体" w:cs="Times New Roman"/>
                <w:color w:val="000000"/>
                <w:kern w:val="0"/>
                <w:sz w:val="24"/>
                <w:szCs w:val="28"/>
                <w:lang w:val="en-US" w:eastAsia="zh-CN"/>
              </w:rPr>
              <w:t>三</w:t>
            </w:r>
            <w:r>
              <w:rPr>
                <w:rFonts w:hint="default" w:ascii="Times New Roman" w:hAnsi="Times New Roman" w:eastAsia="黑体" w:cs="Times New Roman"/>
                <w:color w:val="000000"/>
                <w:kern w:val="0"/>
                <w:sz w:val="24"/>
                <w:szCs w:val="28"/>
              </w:rPr>
              <w:t>、服务期限</w:t>
            </w:r>
          </w:p>
          <w:p w14:paraId="44E295B7">
            <w:pPr>
              <w:spacing w:line="360" w:lineRule="exact"/>
              <w:ind w:firstLine="480" w:firstLineChars="200"/>
              <w:rPr>
                <w:rFonts w:hint="eastAsia" w:ascii="Times New Roman" w:hAnsi="Times New Roman" w:eastAsia="仿宋_GB2312" w:cs="Times New Roman"/>
                <w:sz w:val="24"/>
                <w:szCs w:val="28"/>
                <w:lang w:eastAsia="zh-CN"/>
              </w:rPr>
            </w:pPr>
            <w:r>
              <w:rPr>
                <w:rFonts w:hint="default" w:ascii="Times New Roman" w:hAnsi="Times New Roman" w:eastAsia="仿宋_GB2312" w:cs="Times New Roman"/>
                <w:sz w:val="24"/>
                <w:szCs w:val="24"/>
              </w:rPr>
              <w:t>自合同签定后，</w:t>
            </w:r>
            <w:r>
              <w:rPr>
                <w:rFonts w:hint="default" w:ascii="Times New Roman" w:hAnsi="Times New Roman" w:eastAsia="仿宋_GB2312" w:cs="Times New Roman"/>
                <w:sz w:val="24"/>
                <w:szCs w:val="24"/>
                <w:highlight w:val="none"/>
              </w:rPr>
              <w:t>至合同履行完毕之日</w:t>
            </w:r>
            <w:r>
              <w:rPr>
                <w:rFonts w:hint="eastAsia" w:ascii="Times New Roman" w:hAnsi="Times New Roman" w:eastAsia="仿宋_GB2312" w:cs="Times New Roman"/>
                <w:sz w:val="24"/>
                <w:szCs w:val="24"/>
                <w:highlight w:val="none"/>
                <w:lang w:eastAsia="zh-CN"/>
              </w:rPr>
              <w:t>。</w:t>
            </w:r>
          </w:p>
          <w:p w14:paraId="7D579FF2">
            <w:pPr>
              <w:widowControl/>
              <w:spacing w:line="360" w:lineRule="exact"/>
              <w:textAlignment w:val="baseline"/>
              <w:rPr>
                <w:rFonts w:hint="default" w:ascii="Times New Roman" w:hAnsi="Times New Roman" w:eastAsia="黑体" w:cs="Times New Roman"/>
                <w:color w:val="000000"/>
                <w:kern w:val="0"/>
                <w:sz w:val="24"/>
                <w:szCs w:val="28"/>
              </w:rPr>
            </w:pPr>
            <w:r>
              <w:rPr>
                <w:rFonts w:hint="default" w:ascii="Times New Roman" w:hAnsi="Times New Roman" w:eastAsia="黑体" w:cs="Times New Roman"/>
                <w:color w:val="000000"/>
                <w:kern w:val="0"/>
                <w:sz w:val="24"/>
                <w:szCs w:val="28"/>
                <w:lang w:val="en-US" w:eastAsia="zh-CN"/>
              </w:rPr>
              <w:t>四</w:t>
            </w:r>
            <w:r>
              <w:rPr>
                <w:rFonts w:hint="default" w:ascii="Times New Roman" w:hAnsi="Times New Roman" w:eastAsia="黑体" w:cs="Times New Roman"/>
                <w:color w:val="000000"/>
                <w:kern w:val="0"/>
                <w:sz w:val="24"/>
                <w:szCs w:val="28"/>
              </w:rPr>
              <w:t>、报价必须内容</w:t>
            </w:r>
          </w:p>
          <w:p w14:paraId="374A6C97">
            <w:pPr>
              <w:spacing w:line="400" w:lineRule="exact"/>
              <w:ind w:firstLine="480" w:firstLineChars="200"/>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8"/>
              </w:rPr>
              <w:t>方案报价表填写单价及合计费用，需附</w:t>
            </w:r>
            <w:r>
              <w:rPr>
                <w:rFonts w:hint="default" w:ascii="Times New Roman" w:hAnsi="Times New Roman" w:eastAsia="仿宋_GB2312" w:cs="Times New Roman"/>
                <w:sz w:val="24"/>
                <w:szCs w:val="28"/>
                <w:lang w:val="en-US" w:eastAsia="zh-CN"/>
              </w:rPr>
              <w:t>资格证明文件</w:t>
            </w:r>
            <w:r>
              <w:rPr>
                <w:rFonts w:hint="default" w:ascii="Times New Roman" w:hAnsi="Times New Roman" w:eastAsia="仿宋_GB2312" w:cs="Times New Roman"/>
                <w:sz w:val="24"/>
                <w:szCs w:val="28"/>
              </w:rPr>
              <w:t>，</w:t>
            </w:r>
            <w:r>
              <w:rPr>
                <w:rFonts w:hint="default" w:ascii="Times New Roman" w:hAnsi="Times New Roman" w:eastAsia="仿宋_GB2312" w:cs="Times New Roman"/>
                <w:sz w:val="24"/>
                <w:szCs w:val="28"/>
                <w:highlight w:val="none"/>
              </w:rPr>
              <w:t>此次合计费用报价最高不得超过</w:t>
            </w:r>
            <w:r>
              <w:rPr>
                <w:rFonts w:hint="eastAsia" w:ascii="Times New Roman" w:hAnsi="Times New Roman" w:eastAsia="仿宋_GB2312" w:cs="Times New Roman"/>
                <w:sz w:val="24"/>
                <w:szCs w:val="28"/>
                <w:highlight w:val="none"/>
                <w:lang w:val="en-US" w:eastAsia="zh-CN"/>
              </w:rPr>
              <w:t>86667</w:t>
            </w:r>
            <w:r>
              <w:rPr>
                <w:rFonts w:hint="default" w:ascii="Times New Roman" w:hAnsi="Times New Roman" w:eastAsia="仿宋_GB2312" w:cs="Times New Roman"/>
                <w:sz w:val="24"/>
                <w:szCs w:val="28"/>
                <w:highlight w:val="none"/>
              </w:rPr>
              <w:t>元。</w:t>
            </w:r>
          </w:p>
        </w:tc>
      </w:tr>
      <w:tr w14:paraId="284C2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8" w:hRule="atLeast"/>
        </w:trPr>
        <w:tc>
          <w:tcPr>
            <w:tcW w:w="841" w:type="dxa"/>
            <w:vAlign w:val="center"/>
          </w:tcPr>
          <w:p w14:paraId="451BCCDF">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2</w:t>
            </w:r>
          </w:p>
        </w:tc>
        <w:tc>
          <w:tcPr>
            <w:tcW w:w="1384" w:type="dxa"/>
            <w:vAlign w:val="center"/>
          </w:tcPr>
          <w:p w14:paraId="0834E4AB">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eastAsia" w:ascii="Times New Roman" w:hAnsi="Times New Roman" w:eastAsia="仿宋_GB2312" w:cs="Times New Roman"/>
                <w:color w:val="000000"/>
                <w:kern w:val="0"/>
                <w:sz w:val="24"/>
                <w:szCs w:val="32"/>
                <w:lang w:val="en-US" w:eastAsia="zh-CN"/>
              </w:rPr>
              <w:t>供应商</w:t>
            </w:r>
            <w:r>
              <w:rPr>
                <w:rFonts w:hint="default" w:ascii="Times New Roman" w:hAnsi="Times New Roman" w:eastAsia="仿宋_GB2312" w:cs="Times New Roman"/>
                <w:color w:val="000000"/>
                <w:kern w:val="0"/>
                <w:sz w:val="24"/>
                <w:szCs w:val="32"/>
              </w:rPr>
              <w:t>资格要求</w:t>
            </w:r>
          </w:p>
        </w:tc>
        <w:tc>
          <w:tcPr>
            <w:tcW w:w="6385" w:type="dxa"/>
          </w:tcPr>
          <w:p w14:paraId="4E1B4F52">
            <w:pPr>
              <w:pStyle w:val="16"/>
              <w:widowControl/>
              <w:numPr>
                <w:ilvl w:val="0"/>
                <w:numId w:val="1"/>
              </w:numPr>
              <w:spacing w:line="360" w:lineRule="exact"/>
              <w:ind w:left="0" w:firstLineChars="0"/>
              <w:textAlignment w:val="baseline"/>
              <w:rPr>
                <w:rFonts w:hint="default" w:ascii="Times New Roman" w:hAnsi="Times New Roman" w:eastAsia="黑体" w:cs="Times New Roman"/>
                <w:color w:val="000000"/>
                <w:kern w:val="0"/>
                <w:sz w:val="24"/>
                <w:szCs w:val="28"/>
                <w:lang w:val="en-US" w:eastAsia="zh-CN"/>
              </w:rPr>
            </w:pPr>
            <w:r>
              <w:rPr>
                <w:rFonts w:hint="eastAsia" w:ascii="Times New Roman" w:hAnsi="Times New Roman" w:eastAsia="黑体" w:cs="Times New Roman"/>
                <w:color w:val="000000"/>
                <w:kern w:val="0"/>
                <w:sz w:val="24"/>
                <w:szCs w:val="28"/>
                <w:lang w:val="en-US" w:eastAsia="zh-CN"/>
              </w:rPr>
              <w:t>一、资质要求</w:t>
            </w:r>
          </w:p>
          <w:p w14:paraId="6BAF7973">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eastAsia"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1.供应商为依法设立、具有独立承担民事责任能力的机构或其合法设立的分支机构。（提供合法有效的律师事务所执业许可证正本或副本复印件）</w:t>
            </w:r>
          </w:p>
          <w:p w14:paraId="31C4C567">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default"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2.供应商2023-2025年任一年度登上过Chambers、ALBChina任一榜单。（提供证明材料）</w:t>
            </w:r>
          </w:p>
          <w:p w14:paraId="68A8B9C5">
            <w:pPr>
              <w:pStyle w:val="16"/>
              <w:widowControl/>
              <w:numPr>
                <w:ilvl w:val="0"/>
                <w:numId w:val="1"/>
              </w:numPr>
              <w:spacing w:line="360" w:lineRule="exact"/>
              <w:ind w:left="0" w:firstLineChars="0"/>
              <w:textAlignment w:val="baseline"/>
              <w:rPr>
                <w:rFonts w:hint="default" w:ascii="Times New Roman" w:hAnsi="Times New Roman" w:eastAsia="黑体" w:cs="Times New Roman"/>
                <w:color w:val="000000"/>
                <w:kern w:val="0"/>
                <w:sz w:val="24"/>
                <w:szCs w:val="28"/>
                <w:lang w:val="en-US" w:eastAsia="zh-CN"/>
              </w:rPr>
            </w:pPr>
            <w:r>
              <w:rPr>
                <w:rFonts w:hint="eastAsia" w:ascii="Times New Roman" w:hAnsi="Times New Roman" w:eastAsia="黑体" w:cs="Times New Roman"/>
                <w:color w:val="000000"/>
                <w:kern w:val="0"/>
                <w:sz w:val="24"/>
                <w:szCs w:val="28"/>
                <w:lang w:val="en-US" w:eastAsia="zh-CN"/>
              </w:rPr>
              <w:t>二、业绩要求</w:t>
            </w:r>
          </w:p>
          <w:p w14:paraId="370D8232">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eastAsia"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最近三年（2023年1月1日至投标截止日），供应商为区级及以上国有企业提供股权投资法律尽调的服务案例5个及以上，对在中基协登记备案的私募股权基金管理机构开展法律尽调的业务案例5个及以上。</w:t>
            </w:r>
          </w:p>
          <w:p w14:paraId="04B8D80D">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eastAsia"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业绩时间以合同签订时间为准，包含已履行完成和正在履行的项目，上述业绩需提供合同复印件，应至少能清晰完整地体现甲乙双方有效签字盖章、合同签订日期、合同约定履行项目内容等，否则按无效业绩处理）</w:t>
            </w:r>
          </w:p>
          <w:p w14:paraId="03DA45C3">
            <w:pPr>
              <w:pStyle w:val="16"/>
              <w:widowControl/>
              <w:numPr>
                <w:ilvl w:val="0"/>
                <w:numId w:val="1"/>
              </w:numPr>
              <w:spacing w:line="360" w:lineRule="exact"/>
              <w:ind w:left="0" w:firstLineChars="0"/>
              <w:textAlignment w:val="baseline"/>
              <w:rPr>
                <w:rFonts w:hint="default" w:ascii="Times New Roman" w:hAnsi="Times New Roman" w:eastAsia="黑体" w:cs="Times New Roman"/>
                <w:color w:val="000000"/>
                <w:kern w:val="0"/>
                <w:sz w:val="24"/>
                <w:szCs w:val="28"/>
                <w:lang w:val="en-US" w:eastAsia="zh-CN"/>
              </w:rPr>
            </w:pPr>
            <w:r>
              <w:rPr>
                <w:rFonts w:hint="eastAsia" w:ascii="Times New Roman" w:hAnsi="Times New Roman" w:eastAsia="黑体" w:cs="Times New Roman"/>
                <w:color w:val="000000"/>
                <w:kern w:val="0"/>
                <w:sz w:val="24"/>
                <w:szCs w:val="28"/>
                <w:lang w:val="en-US" w:eastAsia="zh-CN"/>
              </w:rPr>
              <w:t>三、人员要求</w:t>
            </w:r>
          </w:p>
          <w:p w14:paraId="0C4FE3D0">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default"/>
                <w:lang w:val="en-US" w:eastAsia="zh-CN"/>
              </w:rPr>
            </w:pPr>
            <w:r>
              <w:rPr>
                <w:rFonts w:hint="eastAsia" w:ascii="Times New Roman" w:hAnsi="Times New Roman" w:eastAsia="仿宋_GB2312" w:cs="Times New Roman"/>
                <w:color w:val="000000"/>
                <w:kern w:val="0"/>
                <w:sz w:val="24"/>
                <w:szCs w:val="32"/>
                <w:lang w:val="en-US" w:eastAsia="zh-CN"/>
              </w:rPr>
              <w:t>拟投入本项目的项目负责人执业10年及以上，具有区级及以上国有企业股权投资法律尽调服务经验和对在中基协登记备案的私募股权基金管理机构法律尽调的业务经验，最近三年，对私募股权基金管理机构开展法律尽调的业务案例3个及以上。拟投入本项目的其他项目成员执业5年及以上，具有项目法律尽调的业务经验。（提供证明材料）</w:t>
            </w:r>
          </w:p>
          <w:p w14:paraId="19FE55F7">
            <w:pPr>
              <w:pStyle w:val="16"/>
              <w:widowControl/>
              <w:numPr>
                <w:ilvl w:val="0"/>
                <w:numId w:val="1"/>
              </w:numPr>
              <w:spacing w:line="360" w:lineRule="exact"/>
              <w:ind w:left="0" w:firstLineChars="0"/>
              <w:textAlignment w:val="baseline"/>
              <w:rPr>
                <w:rFonts w:hint="default" w:ascii="Times New Roman" w:hAnsi="Times New Roman" w:eastAsia="黑体" w:cs="Times New Roman"/>
                <w:color w:val="000000"/>
                <w:kern w:val="0"/>
                <w:sz w:val="24"/>
                <w:szCs w:val="28"/>
                <w:lang w:val="en-US" w:eastAsia="zh-CN"/>
              </w:rPr>
            </w:pPr>
            <w:r>
              <w:rPr>
                <w:rFonts w:hint="eastAsia" w:ascii="Times New Roman" w:hAnsi="Times New Roman" w:eastAsia="黑体" w:cs="Times New Roman"/>
                <w:color w:val="000000"/>
                <w:kern w:val="0"/>
                <w:sz w:val="24"/>
                <w:szCs w:val="28"/>
                <w:lang w:val="en-US" w:eastAsia="zh-CN"/>
              </w:rPr>
              <w:t>四、其他</w:t>
            </w:r>
          </w:p>
          <w:p w14:paraId="3ECBFC52">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default"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1.供应商应</w:t>
            </w:r>
            <w:r>
              <w:rPr>
                <w:rFonts w:hint="default" w:ascii="Times New Roman" w:hAnsi="Times New Roman" w:eastAsia="仿宋_GB2312" w:cs="Times New Roman"/>
                <w:color w:val="000000"/>
                <w:kern w:val="0"/>
                <w:sz w:val="24"/>
                <w:szCs w:val="32"/>
                <w:lang w:val="en-US" w:eastAsia="zh-CN"/>
              </w:rPr>
              <w:t>具有良好的商业信誉</w:t>
            </w:r>
            <w:r>
              <w:rPr>
                <w:rFonts w:hint="eastAsia" w:ascii="Times New Roman" w:hAnsi="Times New Roman" w:eastAsia="仿宋_GB2312" w:cs="Times New Roman"/>
                <w:color w:val="000000"/>
                <w:kern w:val="0"/>
                <w:sz w:val="24"/>
                <w:szCs w:val="32"/>
                <w:lang w:val="en-US" w:eastAsia="zh-CN"/>
              </w:rPr>
              <w:t>，以及履行合同所必需的设备和专业技术能力（可提供承诺函）</w:t>
            </w:r>
            <w:r>
              <w:rPr>
                <w:rFonts w:hint="default" w:ascii="Times New Roman" w:hAnsi="Times New Roman" w:eastAsia="仿宋_GB2312" w:cs="Times New Roman"/>
                <w:color w:val="000000"/>
                <w:kern w:val="0"/>
                <w:sz w:val="24"/>
                <w:szCs w:val="32"/>
                <w:lang w:val="en-US" w:eastAsia="zh-CN"/>
              </w:rPr>
              <w:t>。</w:t>
            </w:r>
          </w:p>
          <w:p w14:paraId="4E8326D7">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eastAsia" w:ascii="Times New Roman" w:hAnsi="Times New Roman" w:eastAsia="仿宋_GB2312" w:cs="Times New Roman"/>
                <w:color w:val="000000"/>
                <w:kern w:val="0"/>
                <w:sz w:val="24"/>
                <w:szCs w:val="32"/>
                <w:lang w:val="en-US" w:eastAsia="zh-CN"/>
              </w:rPr>
            </w:pPr>
            <w:r>
              <w:rPr>
                <w:rFonts w:hint="eastAsia" w:ascii="Times New Roman" w:hAnsi="Times New Roman" w:eastAsia="仿宋_GB2312" w:cs="Times New Roman"/>
                <w:color w:val="000000"/>
                <w:kern w:val="0"/>
                <w:sz w:val="24"/>
                <w:szCs w:val="32"/>
                <w:lang w:val="en-US" w:eastAsia="zh-CN"/>
              </w:rPr>
              <w:t>2.供应商2023-2025年，在经营活动中没有重大违法违规记录（可提供承诺函）。</w:t>
            </w:r>
          </w:p>
          <w:p w14:paraId="78BC790D">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baseline"/>
              <w:rPr>
                <w:rFonts w:hint="default"/>
              </w:rPr>
            </w:pPr>
            <w:r>
              <w:rPr>
                <w:rFonts w:hint="eastAsia" w:ascii="Times New Roman" w:hAnsi="Times New Roman" w:eastAsia="仿宋_GB2312" w:cs="Times New Roman"/>
                <w:color w:val="000000"/>
                <w:kern w:val="0"/>
                <w:sz w:val="24"/>
                <w:szCs w:val="32"/>
                <w:lang w:val="en-US" w:eastAsia="zh-CN"/>
              </w:rPr>
              <w:t>3.本次询价</w:t>
            </w:r>
            <w:r>
              <w:rPr>
                <w:rFonts w:hint="default" w:ascii="Times New Roman" w:hAnsi="Times New Roman" w:eastAsia="仿宋_GB2312" w:cs="Times New Roman"/>
                <w:color w:val="000000"/>
                <w:kern w:val="0"/>
                <w:sz w:val="24"/>
                <w:szCs w:val="32"/>
                <w:lang w:val="en-US" w:eastAsia="zh-CN"/>
              </w:rPr>
              <w:t>不接受联合体参加</w:t>
            </w:r>
            <w:r>
              <w:rPr>
                <w:rFonts w:hint="eastAsia" w:ascii="Times New Roman" w:hAnsi="Times New Roman" w:eastAsia="仿宋_GB2312" w:cs="Times New Roman"/>
                <w:color w:val="000000"/>
                <w:kern w:val="0"/>
                <w:sz w:val="24"/>
                <w:szCs w:val="32"/>
                <w:lang w:val="en-US" w:eastAsia="zh-CN"/>
              </w:rPr>
              <w:t>询价</w:t>
            </w:r>
            <w:r>
              <w:rPr>
                <w:rFonts w:hint="default" w:ascii="Times New Roman" w:hAnsi="Times New Roman" w:eastAsia="仿宋_GB2312" w:cs="Times New Roman"/>
                <w:color w:val="000000"/>
                <w:kern w:val="0"/>
                <w:sz w:val="24"/>
                <w:szCs w:val="32"/>
                <w:lang w:val="en-US" w:eastAsia="zh-CN"/>
              </w:rPr>
              <w:t>；不接受律所总所和其分支机构同时参加本次</w:t>
            </w:r>
            <w:r>
              <w:rPr>
                <w:rFonts w:hint="eastAsia" w:ascii="Times New Roman" w:hAnsi="Times New Roman" w:eastAsia="仿宋_GB2312" w:cs="Times New Roman"/>
                <w:color w:val="000000"/>
                <w:kern w:val="0"/>
                <w:sz w:val="24"/>
                <w:szCs w:val="32"/>
                <w:lang w:val="en-US" w:eastAsia="zh-CN"/>
              </w:rPr>
              <w:t>询价</w:t>
            </w:r>
            <w:r>
              <w:rPr>
                <w:rFonts w:hint="default" w:ascii="Times New Roman" w:hAnsi="Times New Roman" w:eastAsia="仿宋_GB2312" w:cs="Times New Roman"/>
                <w:color w:val="000000"/>
                <w:kern w:val="0"/>
                <w:sz w:val="24"/>
                <w:szCs w:val="32"/>
                <w:lang w:val="en-US" w:eastAsia="zh-CN"/>
              </w:rPr>
              <w:t>，也不接受同一总所的不同分支机构同时参加本次</w:t>
            </w:r>
            <w:r>
              <w:rPr>
                <w:rFonts w:hint="eastAsia" w:ascii="Times New Roman" w:hAnsi="Times New Roman" w:eastAsia="仿宋_GB2312" w:cs="Times New Roman"/>
                <w:color w:val="000000"/>
                <w:kern w:val="0"/>
                <w:sz w:val="24"/>
                <w:szCs w:val="32"/>
                <w:lang w:val="en-US" w:eastAsia="zh-CN"/>
              </w:rPr>
              <w:t>询价。</w:t>
            </w:r>
          </w:p>
        </w:tc>
      </w:tr>
      <w:tr w14:paraId="6A81F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841" w:type="dxa"/>
            <w:vAlign w:val="center"/>
          </w:tcPr>
          <w:p w14:paraId="3E3CDB88">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3</w:t>
            </w:r>
          </w:p>
        </w:tc>
        <w:tc>
          <w:tcPr>
            <w:tcW w:w="1384" w:type="dxa"/>
            <w:vAlign w:val="center"/>
          </w:tcPr>
          <w:p w14:paraId="44C53B7D">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定标原则</w:t>
            </w:r>
          </w:p>
        </w:tc>
        <w:tc>
          <w:tcPr>
            <w:tcW w:w="6385" w:type="dxa"/>
            <w:vAlign w:val="center"/>
          </w:tcPr>
          <w:p w14:paraId="0DD9DAE5">
            <w:pPr>
              <w:widowControl/>
              <w:spacing w:line="360" w:lineRule="atLeast"/>
              <w:ind w:firstLine="480" w:firstLineChars="200"/>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低价中标法。</w:t>
            </w:r>
          </w:p>
        </w:tc>
      </w:tr>
      <w:tr w14:paraId="602BA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841" w:type="dxa"/>
            <w:vAlign w:val="center"/>
          </w:tcPr>
          <w:p w14:paraId="315FB6D6">
            <w:pPr>
              <w:widowControl/>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4</w:t>
            </w:r>
          </w:p>
        </w:tc>
        <w:tc>
          <w:tcPr>
            <w:tcW w:w="1384" w:type="dxa"/>
            <w:vAlign w:val="center"/>
          </w:tcPr>
          <w:p w14:paraId="3896D7CF">
            <w:pPr>
              <w:widowControl/>
              <w:numPr>
                <w:ilvl w:val="0"/>
                <w:numId w:val="0"/>
              </w:numPr>
              <w:spacing w:line="360" w:lineRule="atLeast"/>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备注</w:t>
            </w:r>
          </w:p>
        </w:tc>
        <w:tc>
          <w:tcPr>
            <w:tcW w:w="6385" w:type="dxa"/>
            <w:vAlign w:val="center"/>
          </w:tcPr>
          <w:p w14:paraId="515FF4A6">
            <w:pPr>
              <w:widowControl/>
              <w:numPr>
                <w:ilvl w:val="0"/>
                <w:numId w:val="0"/>
              </w:numPr>
              <w:spacing w:line="360" w:lineRule="atLeast"/>
              <w:ind w:firstLine="480" w:firstLineChars="200"/>
              <w:textAlignment w:val="baseline"/>
              <w:rPr>
                <w:rFonts w:hint="default" w:ascii="Times New Roman" w:hAnsi="Times New Roman" w:eastAsia="仿宋_GB2312" w:cs="Times New Roman"/>
                <w:color w:val="000000"/>
                <w:kern w:val="0"/>
                <w:sz w:val="24"/>
                <w:szCs w:val="32"/>
              </w:rPr>
            </w:pPr>
            <w:r>
              <w:rPr>
                <w:rFonts w:hint="default" w:ascii="Times New Roman" w:hAnsi="Times New Roman" w:eastAsia="仿宋_GB2312" w:cs="Times New Roman"/>
                <w:color w:val="000000"/>
                <w:kern w:val="0"/>
                <w:sz w:val="24"/>
                <w:szCs w:val="32"/>
              </w:rPr>
              <w:t>报价单位应充分考虑整个询价过程综合多种风险因素来确定报价，一次性报价包含项目所有费用。</w:t>
            </w:r>
          </w:p>
        </w:tc>
      </w:tr>
    </w:tbl>
    <w:p w14:paraId="0B8379EF">
      <w:pPr>
        <w:widowControl/>
        <w:spacing w:line="420" w:lineRule="atLeast"/>
        <w:textAlignment w:val="baseline"/>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四、项目报价表</w:t>
      </w:r>
    </w:p>
    <w:p w14:paraId="02B22CD0">
      <w:pPr>
        <w:widowControl/>
        <w:spacing w:line="420" w:lineRule="atLeast"/>
        <w:ind w:firstLine="640" w:firstLineChars="200"/>
        <w:textAlignment w:val="baseline"/>
        <w:rPr>
          <w:rFonts w:hint="default"/>
        </w:rPr>
      </w:pPr>
      <w:r>
        <w:rPr>
          <w:rFonts w:hint="default" w:ascii="Times New Roman" w:hAnsi="Times New Roman" w:eastAsia="仿宋_GB2312" w:cs="Times New Roman"/>
          <w:sz w:val="32"/>
          <w:szCs w:val="32"/>
        </w:rPr>
        <w:t>请按照给出的</w:t>
      </w:r>
      <w:r>
        <w:rPr>
          <w:rFonts w:hint="default" w:ascii="Times New Roman" w:hAnsi="Times New Roman" w:eastAsia="仿宋_GB2312" w:cs="Times New Roman"/>
          <w:sz w:val="32"/>
          <w:szCs w:val="32"/>
          <w:u w:val="single"/>
        </w:rPr>
        <w:t>“项目报价表”模式（见附件1）</w:t>
      </w:r>
      <w:r>
        <w:rPr>
          <w:rFonts w:hint="default" w:ascii="Times New Roman" w:hAnsi="Times New Roman" w:eastAsia="仿宋_GB2312" w:cs="Times New Roman"/>
          <w:sz w:val="32"/>
          <w:szCs w:val="32"/>
        </w:rPr>
        <w:t>进行报价，未按模式要求的</w:t>
      </w:r>
      <w:r>
        <w:rPr>
          <w:rFonts w:hint="default" w:ascii="Times New Roman" w:hAnsi="Times New Roman" w:eastAsia="仿宋_GB2312" w:cs="Times New Roman"/>
          <w:sz w:val="32"/>
          <w:szCs w:val="32"/>
          <w:u w:val="single"/>
        </w:rPr>
        <w:t>作废处理</w:t>
      </w:r>
      <w:r>
        <w:rPr>
          <w:rFonts w:hint="default" w:ascii="Times New Roman" w:hAnsi="Times New Roman" w:eastAsia="仿宋_GB2312" w:cs="Times New Roman"/>
          <w:sz w:val="32"/>
          <w:szCs w:val="32"/>
        </w:rPr>
        <w:t>。</w:t>
      </w:r>
    </w:p>
    <w:p w14:paraId="19E991C1">
      <w:pPr>
        <w:widowControl/>
        <w:spacing w:line="420" w:lineRule="atLeast"/>
        <w:textAlignment w:val="baseline"/>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五、《项目报价表》的密封和标记</w:t>
      </w:r>
    </w:p>
    <w:p w14:paraId="3EE85CF3">
      <w:pPr>
        <w:widowControl/>
        <w:spacing w:line="420" w:lineRule="atLeas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（一）</w:t>
      </w:r>
      <w:r>
        <w:rPr>
          <w:rFonts w:hint="default" w:ascii="Times New Roman" w:hAnsi="Times New Roman" w:eastAsia="仿宋_GB2312" w:cs="Times New Roman"/>
          <w:sz w:val="32"/>
          <w:szCs w:val="32"/>
        </w:rPr>
        <w:t>供应商应将项目报价表正本密封装在单独的信封中，信封封口处应有供应商公章。</w:t>
      </w:r>
    </w:p>
    <w:p w14:paraId="06B00C0B">
      <w:pPr>
        <w:widowControl/>
        <w:spacing w:line="420" w:lineRule="atLeas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（二）</w:t>
      </w:r>
      <w:r>
        <w:rPr>
          <w:rFonts w:hint="default" w:ascii="Times New Roman" w:hAnsi="Times New Roman" w:eastAsia="仿宋_GB2312" w:cs="Times New Roman"/>
          <w:sz w:val="32"/>
          <w:szCs w:val="32"/>
        </w:rPr>
        <w:t>如果供应商未按上述要求对项目报价表密封，采购人对文件的误投或过早启封概不负责。对由此造成提前开封的响应文件，采购人有权予以拒绝，并退回供应商。</w:t>
      </w:r>
    </w:p>
    <w:p w14:paraId="3D405732">
      <w:pPr>
        <w:widowControl/>
        <w:spacing w:line="420" w:lineRule="atLeast"/>
        <w:textAlignment w:val="baseline"/>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六、联系地址</w:t>
      </w:r>
    </w:p>
    <w:p w14:paraId="48CB129A">
      <w:pPr>
        <w:widowControl/>
        <w:spacing w:line="420" w:lineRule="atLeas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成都高新区新程大道999号D2栋盈创动力大厦4层</w:t>
      </w:r>
      <w:r>
        <w:rPr>
          <w:rFonts w:hint="default" w:ascii="Times New Roman" w:hAnsi="Times New Roman" w:eastAsia="仿宋_GB2312" w:cs="Times New Roman"/>
          <w:sz w:val="32"/>
          <w:szCs w:val="32"/>
        </w:rPr>
        <w:t>。</w:t>
      </w:r>
    </w:p>
    <w:p w14:paraId="090192A3">
      <w:pPr>
        <w:widowControl/>
        <w:spacing w:line="420" w:lineRule="atLeast"/>
        <w:textAlignment w:val="baseline"/>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七、联系人及电话</w:t>
      </w:r>
    </w:p>
    <w:p w14:paraId="70AB618F">
      <w:pPr>
        <w:widowControl/>
        <w:spacing w:line="420" w:lineRule="atLeast"/>
        <w:ind w:firstLine="640" w:firstLineChars="200"/>
        <w:textAlignment w:val="baseline"/>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rPr>
        <w:t>盈创公司：</w:t>
      </w:r>
      <w:r>
        <w:rPr>
          <w:rFonts w:hint="eastAsia" w:ascii="Times New Roman" w:hAnsi="Times New Roman" w:eastAsia="仿宋_GB2312" w:cs="Times New Roman"/>
          <w:kern w:val="0"/>
          <w:sz w:val="32"/>
          <w:szCs w:val="32"/>
          <w:lang w:val="en-US" w:eastAsia="zh-CN"/>
        </w:rPr>
        <w:t xml:space="preserve">何宇龙   </w:t>
      </w:r>
      <w:r>
        <w:rPr>
          <w:rFonts w:hint="default" w:ascii="Times New Roman" w:hAnsi="Times New Roman" w:eastAsia="仿宋_GB2312" w:cs="Times New Roman"/>
          <w:kern w:val="0"/>
          <w:sz w:val="32"/>
          <w:szCs w:val="32"/>
        </w:rPr>
        <w:t>电话：1</w:t>
      </w:r>
      <w:r>
        <w:rPr>
          <w:rFonts w:hint="eastAsia" w:ascii="Times New Roman" w:hAnsi="Times New Roman" w:eastAsia="仿宋_GB2312" w:cs="Times New Roman"/>
          <w:kern w:val="0"/>
          <w:sz w:val="32"/>
          <w:szCs w:val="32"/>
          <w:lang w:val="en-US" w:eastAsia="zh-CN"/>
        </w:rPr>
        <w:t>8081125174</w:t>
      </w:r>
    </w:p>
    <w:p w14:paraId="00E080A4">
      <w:pPr>
        <w:widowControl/>
        <w:spacing w:line="420" w:lineRule="atLeast"/>
        <w:ind w:firstLine="640" w:firstLineChars="200"/>
        <w:textAlignment w:val="baseline"/>
        <w:rPr>
          <w:rFonts w:hint="default" w:ascii="Times New Roman" w:hAnsi="Times New Roman" w:eastAsia="仿宋_GB2312" w:cs="Times New Roman"/>
          <w:kern w:val="0"/>
          <w:sz w:val="32"/>
          <w:szCs w:val="32"/>
        </w:rPr>
      </w:pPr>
    </w:p>
    <w:p w14:paraId="62D22550">
      <w:pPr>
        <w:pStyle w:val="2"/>
        <w:rPr>
          <w:rFonts w:hint="default"/>
        </w:rPr>
      </w:pPr>
    </w:p>
    <w:p w14:paraId="4C82BA12">
      <w:pPr>
        <w:spacing w:line="560" w:lineRule="exact"/>
        <w:jc w:val="right"/>
        <w:rPr>
          <w:rFonts w:hint="default" w:ascii="Times New Roman" w:hAnsi="Times New Roman" w:eastAsia="仿宋_GB2312" w:cs="Times New Roman"/>
          <w:color w:val="000000"/>
          <w:kern w:val="0"/>
          <w:sz w:val="32"/>
          <w:szCs w:val="32"/>
        </w:rPr>
      </w:pPr>
      <w:r>
        <w:rPr>
          <w:rFonts w:hint="default" w:ascii="Times New Roman" w:hAnsi="Times New Roman" w:eastAsia="方正小标宋简体" w:cs="Times New Roman"/>
          <w:spacing w:val="-20"/>
          <w:sz w:val="36"/>
          <w:szCs w:val="44"/>
        </w:rPr>
        <w:t xml:space="preserve">    </w:t>
      </w:r>
      <w:r>
        <w:rPr>
          <w:rFonts w:hint="default" w:ascii="Times New Roman" w:hAnsi="Times New Roman" w:eastAsia="仿宋_GB2312" w:cs="Times New Roman"/>
          <w:kern w:val="0"/>
          <w:sz w:val="32"/>
          <w:szCs w:val="32"/>
        </w:rPr>
        <w:t>成都高投盈创动力投资发展有限公司</w:t>
      </w:r>
    </w:p>
    <w:p w14:paraId="1D734761">
      <w:pPr>
        <w:widowControl/>
        <w:spacing w:line="420" w:lineRule="atLeast"/>
        <w:ind w:firstLine="4480" w:firstLineChars="1400"/>
        <w:jc w:val="right"/>
        <w:textAlignment w:val="baseline"/>
        <w:rPr>
          <w:rFonts w:hint="default" w:ascii="Times New Roman" w:hAnsi="Times New Roman" w:eastAsia="仿宋_GB2312" w:cs="Times New Roman"/>
          <w:color w:val="000000"/>
          <w:kern w:val="0"/>
          <w:sz w:val="32"/>
          <w:szCs w:val="32"/>
          <w:highlight w:val="none"/>
        </w:rPr>
      </w:pPr>
      <w:r>
        <w:rPr>
          <w:rFonts w:hint="default" w:ascii="Times New Roman" w:hAnsi="Times New Roman" w:eastAsia="仿宋_GB2312" w:cs="Times New Roman"/>
          <w:color w:val="000000"/>
          <w:kern w:val="0"/>
          <w:sz w:val="32"/>
          <w:szCs w:val="32"/>
          <w:highlight w:val="none"/>
        </w:rPr>
        <w:t>202</w:t>
      </w:r>
      <w:r>
        <w:rPr>
          <w:rFonts w:hint="eastAsia" w:ascii="Times New Roman" w:hAnsi="Times New Roman" w:eastAsia="仿宋_GB2312" w:cs="Times New Roman"/>
          <w:color w:val="000000"/>
          <w:kern w:val="0"/>
          <w:sz w:val="32"/>
          <w:szCs w:val="32"/>
          <w:highlight w:val="none"/>
          <w:lang w:val="en-US" w:eastAsia="zh-CN"/>
        </w:rPr>
        <w:t>6</w:t>
      </w:r>
      <w:r>
        <w:rPr>
          <w:rFonts w:hint="default" w:ascii="Times New Roman" w:hAnsi="Times New Roman" w:eastAsia="仿宋_GB2312" w:cs="Times New Roman"/>
          <w:color w:val="000000"/>
          <w:kern w:val="0"/>
          <w:sz w:val="32"/>
          <w:szCs w:val="32"/>
          <w:highlight w:val="none"/>
        </w:rPr>
        <w:t>年</w:t>
      </w:r>
      <w:r>
        <w:rPr>
          <w:rFonts w:hint="eastAsia" w:ascii="Times New Roman" w:hAnsi="Times New Roman" w:eastAsia="仿宋_GB2312" w:cs="Times New Roman"/>
          <w:color w:val="000000"/>
          <w:kern w:val="0"/>
          <w:sz w:val="32"/>
          <w:szCs w:val="32"/>
          <w:highlight w:val="none"/>
          <w:lang w:val="en-US" w:eastAsia="zh-CN"/>
        </w:rPr>
        <w:t>1</w:t>
      </w:r>
      <w:r>
        <w:rPr>
          <w:rFonts w:hint="default" w:ascii="Times New Roman" w:hAnsi="Times New Roman" w:eastAsia="仿宋_GB2312" w:cs="Times New Roman"/>
          <w:color w:val="000000"/>
          <w:kern w:val="0"/>
          <w:sz w:val="32"/>
          <w:szCs w:val="32"/>
          <w:highlight w:val="none"/>
        </w:rPr>
        <w:t>月</w:t>
      </w:r>
      <w:r>
        <w:rPr>
          <w:rFonts w:hint="eastAsia" w:ascii="Times New Roman" w:hAnsi="Times New Roman" w:eastAsia="仿宋_GB2312" w:cs="Times New Roman"/>
          <w:color w:val="000000"/>
          <w:kern w:val="0"/>
          <w:sz w:val="32"/>
          <w:szCs w:val="32"/>
          <w:highlight w:val="none"/>
          <w:lang w:val="en-US" w:eastAsia="zh-CN"/>
        </w:rPr>
        <w:t>22</w:t>
      </w:r>
      <w:r>
        <w:rPr>
          <w:rFonts w:hint="default" w:ascii="Times New Roman" w:hAnsi="Times New Roman" w:eastAsia="仿宋_GB2312" w:cs="Times New Roman"/>
          <w:color w:val="000000"/>
          <w:kern w:val="0"/>
          <w:sz w:val="32"/>
          <w:szCs w:val="32"/>
          <w:highlight w:val="none"/>
        </w:rPr>
        <w:t>日</w:t>
      </w:r>
    </w:p>
    <w:p w14:paraId="000872F4">
      <w:pPr>
        <w:widowControl/>
        <w:rPr>
          <w:rFonts w:hint="default" w:ascii="Times New Roman" w:hAnsi="Times New Roman" w:eastAsia="仿宋_GB2312" w:cs="Times New Roman"/>
          <w:color w:val="000000"/>
          <w:kern w:val="0"/>
          <w:sz w:val="32"/>
          <w:szCs w:val="32"/>
        </w:rPr>
      </w:pPr>
    </w:p>
    <w:p w14:paraId="6D3E0112">
      <w:pPr>
        <w:widowControl/>
        <w:spacing w:line="420" w:lineRule="atLeast"/>
        <w:textAlignment w:val="baseline"/>
        <w:rPr>
          <w:rFonts w:hint="default" w:ascii="Times New Roman" w:hAnsi="Times New Roman" w:eastAsia="仿宋_GB2312" w:cs="Times New Roman"/>
          <w:b/>
          <w:color w:val="000000"/>
          <w:kern w:val="0"/>
          <w:sz w:val="32"/>
          <w:szCs w:val="32"/>
        </w:rPr>
      </w:pPr>
    </w:p>
    <w:p w14:paraId="76C41BAB">
      <w:pPr>
        <w:widowControl/>
        <w:spacing w:line="420" w:lineRule="atLeast"/>
        <w:textAlignment w:val="baseline"/>
        <w:rPr>
          <w:rFonts w:hint="default" w:ascii="Times New Roman" w:hAnsi="Times New Roman" w:eastAsia="仿宋_GB2312" w:cs="Times New Roman"/>
          <w:b/>
          <w:color w:val="000000"/>
          <w:kern w:val="0"/>
          <w:sz w:val="32"/>
          <w:szCs w:val="32"/>
        </w:rPr>
      </w:pPr>
    </w:p>
    <w:p w14:paraId="16B71A09">
      <w:pPr>
        <w:pStyle w:val="2"/>
        <w:rPr>
          <w:rFonts w:hint="default" w:ascii="Times New Roman" w:hAnsi="Times New Roman" w:cs="Times New Roman"/>
        </w:rPr>
      </w:pPr>
    </w:p>
    <w:p w14:paraId="622FA7D0">
      <w:pPr>
        <w:widowControl/>
        <w:spacing w:line="420" w:lineRule="atLeast"/>
        <w:textAlignment w:val="baseline"/>
        <w:rPr>
          <w:rFonts w:hint="default" w:ascii="Times New Roman" w:hAnsi="Times New Roman" w:eastAsia="仿宋_GB2312" w:cs="Times New Roman"/>
          <w:b/>
          <w:kern w:val="0"/>
          <w:sz w:val="32"/>
          <w:szCs w:val="32"/>
        </w:rPr>
      </w:pPr>
    </w:p>
    <w:p w14:paraId="4795B1D1">
      <w:pPr>
        <w:widowControl/>
        <w:spacing w:line="420" w:lineRule="atLeast"/>
        <w:textAlignment w:val="baseline"/>
        <w:rPr>
          <w:rFonts w:hint="default" w:ascii="Times New Roman" w:hAnsi="Times New Roman" w:eastAsia="仿宋_GB2312" w:cs="Times New Roman"/>
          <w:b/>
          <w:kern w:val="0"/>
          <w:sz w:val="32"/>
          <w:szCs w:val="32"/>
        </w:rPr>
      </w:pPr>
    </w:p>
    <w:p w14:paraId="24F9D8A0">
      <w:pPr>
        <w:widowControl/>
        <w:spacing w:line="420" w:lineRule="atLeast"/>
        <w:textAlignment w:val="baseline"/>
        <w:rPr>
          <w:rFonts w:hint="default" w:ascii="Times New Roman" w:hAnsi="Times New Roman" w:eastAsia="仿宋_GB2312" w:cs="Times New Roman"/>
          <w:b/>
          <w:kern w:val="0"/>
          <w:sz w:val="32"/>
          <w:szCs w:val="32"/>
        </w:rPr>
      </w:pPr>
    </w:p>
    <w:p w14:paraId="57BB6F57">
      <w:pPr>
        <w:pStyle w:val="2"/>
        <w:rPr>
          <w:rFonts w:hint="default" w:ascii="Times New Roman" w:hAnsi="Times New Roman" w:eastAsia="仿宋_GB2312" w:cs="Times New Roman"/>
          <w:b/>
          <w:kern w:val="0"/>
          <w:sz w:val="32"/>
          <w:szCs w:val="32"/>
        </w:rPr>
      </w:pPr>
    </w:p>
    <w:p w14:paraId="70A8801E">
      <w:pPr>
        <w:rPr>
          <w:rFonts w:hint="default" w:ascii="Times New Roman" w:hAnsi="Times New Roman" w:eastAsia="仿宋_GB2312" w:cs="Times New Roman"/>
          <w:b/>
          <w:kern w:val="0"/>
          <w:sz w:val="32"/>
          <w:szCs w:val="32"/>
        </w:rPr>
      </w:pPr>
    </w:p>
    <w:p w14:paraId="1DF267DB">
      <w:pPr>
        <w:pStyle w:val="2"/>
        <w:rPr>
          <w:rFonts w:hint="default" w:ascii="Times New Roman" w:hAnsi="Times New Roman" w:eastAsia="仿宋_GB2312" w:cs="Times New Roman"/>
          <w:b/>
          <w:kern w:val="0"/>
          <w:sz w:val="32"/>
          <w:szCs w:val="32"/>
        </w:rPr>
      </w:pPr>
    </w:p>
    <w:p w14:paraId="512D0102">
      <w:pPr>
        <w:rPr>
          <w:rFonts w:hint="default" w:ascii="Times New Roman" w:hAnsi="Times New Roman" w:eastAsia="仿宋_GB2312" w:cs="Times New Roman"/>
          <w:b/>
          <w:kern w:val="0"/>
          <w:sz w:val="32"/>
          <w:szCs w:val="32"/>
        </w:rPr>
      </w:pPr>
    </w:p>
    <w:p w14:paraId="33DB8B10">
      <w:pPr>
        <w:pStyle w:val="2"/>
        <w:rPr>
          <w:rFonts w:hint="default" w:ascii="Times New Roman" w:hAnsi="Times New Roman" w:eastAsia="仿宋_GB2312" w:cs="Times New Roman"/>
          <w:b/>
          <w:kern w:val="0"/>
          <w:sz w:val="32"/>
          <w:szCs w:val="32"/>
        </w:rPr>
      </w:pPr>
    </w:p>
    <w:p w14:paraId="18A51F6B">
      <w:pPr>
        <w:rPr>
          <w:rFonts w:hint="default" w:ascii="Times New Roman" w:hAnsi="Times New Roman" w:eastAsia="仿宋_GB2312" w:cs="Times New Roman"/>
          <w:b/>
          <w:kern w:val="0"/>
          <w:sz w:val="32"/>
          <w:szCs w:val="32"/>
        </w:rPr>
      </w:pPr>
    </w:p>
    <w:p w14:paraId="1DD98E27">
      <w:pPr>
        <w:pStyle w:val="2"/>
        <w:rPr>
          <w:rFonts w:hint="default" w:ascii="Times New Roman" w:hAnsi="Times New Roman" w:eastAsia="仿宋_GB2312" w:cs="Times New Roman"/>
          <w:b/>
          <w:kern w:val="0"/>
          <w:sz w:val="32"/>
          <w:szCs w:val="32"/>
        </w:rPr>
      </w:pPr>
    </w:p>
    <w:p w14:paraId="7491BA8D">
      <w:pPr>
        <w:rPr>
          <w:rFonts w:hint="default" w:ascii="Times New Roman" w:hAnsi="Times New Roman" w:eastAsia="仿宋_GB2312" w:cs="Times New Roman"/>
          <w:b/>
          <w:kern w:val="0"/>
          <w:sz w:val="32"/>
          <w:szCs w:val="32"/>
        </w:rPr>
      </w:pPr>
    </w:p>
    <w:p w14:paraId="6738CD61">
      <w:pPr>
        <w:pStyle w:val="2"/>
        <w:rPr>
          <w:rFonts w:hint="default" w:ascii="Times New Roman" w:hAnsi="Times New Roman" w:eastAsia="仿宋_GB2312" w:cs="Times New Roman"/>
          <w:b/>
          <w:kern w:val="0"/>
          <w:sz w:val="32"/>
          <w:szCs w:val="32"/>
        </w:rPr>
      </w:pPr>
    </w:p>
    <w:p w14:paraId="44879546">
      <w:pPr>
        <w:rPr>
          <w:rFonts w:hint="default"/>
        </w:rPr>
      </w:pPr>
    </w:p>
    <w:p w14:paraId="0006BA05">
      <w:pPr>
        <w:rPr>
          <w:rFonts w:hint="default"/>
        </w:rPr>
      </w:pPr>
    </w:p>
    <w:p w14:paraId="6FBF4C3C">
      <w:pPr>
        <w:widowControl/>
        <w:spacing w:line="420" w:lineRule="atLeast"/>
        <w:textAlignment w:val="baseline"/>
        <w:rPr>
          <w:rFonts w:hint="default" w:ascii="Times New Roman" w:hAnsi="Times New Roman" w:eastAsia="仿宋_GB2312" w:cs="Times New Roman"/>
          <w:b/>
          <w:kern w:val="0"/>
          <w:sz w:val="32"/>
          <w:szCs w:val="32"/>
        </w:rPr>
      </w:pPr>
      <w:r>
        <w:rPr>
          <w:rFonts w:hint="default" w:ascii="Times New Roman" w:hAnsi="Times New Roman" w:eastAsia="仿宋_GB2312" w:cs="Times New Roman"/>
          <w:b/>
          <w:kern w:val="0"/>
          <w:sz w:val="32"/>
          <w:szCs w:val="32"/>
        </w:rPr>
        <w:t>附件1：项目报价表</w:t>
      </w:r>
    </w:p>
    <w:p w14:paraId="5207C9A6">
      <w:pPr>
        <w:jc w:val="center"/>
        <w:rPr>
          <w:rFonts w:hint="default" w:ascii="Times New Roman" w:hAnsi="Times New Roman" w:eastAsia="仿宋" w:cs="Times New Roman"/>
          <w:b/>
          <w:bCs/>
          <w:sz w:val="36"/>
          <w:szCs w:val="36"/>
        </w:rPr>
      </w:pPr>
      <w:r>
        <w:rPr>
          <w:rFonts w:hint="default" w:ascii="Times New Roman" w:hAnsi="Times New Roman" w:eastAsia="仿宋" w:cs="Times New Roman"/>
          <w:b/>
          <w:bCs/>
          <w:sz w:val="36"/>
          <w:szCs w:val="36"/>
        </w:rPr>
        <w:t>合资新设成都某</w:t>
      </w:r>
      <w:r>
        <w:rPr>
          <w:rFonts w:hint="eastAsia" w:ascii="Times New Roman" w:hAnsi="Times New Roman" w:eastAsia="仿宋" w:cs="Times New Roman"/>
          <w:b/>
          <w:bCs/>
          <w:sz w:val="36"/>
          <w:szCs w:val="36"/>
          <w:lang w:val="en-US" w:eastAsia="zh-CN"/>
        </w:rPr>
        <w:t>科技</w:t>
      </w:r>
      <w:r>
        <w:rPr>
          <w:rFonts w:hint="default" w:ascii="Times New Roman" w:hAnsi="Times New Roman" w:eastAsia="仿宋" w:cs="Times New Roman"/>
          <w:b/>
          <w:bCs/>
          <w:sz w:val="36"/>
          <w:szCs w:val="36"/>
        </w:rPr>
        <w:t>服务公司法律尽职调查</w:t>
      </w:r>
    </w:p>
    <w:p w14:paraId="2B98B27B">
      <w:pPr>
        <w:jc w:val="center"/>
        <w:rPr>
          <w:rFonts w:hint="default" w:ascii="Times New Roman" w:hAnsi="Times New Roman" w:eastAsia="仿宋" w:cs="Times New Roman"/>
          <w:b/>
          <w:sz w:val="36"/>
          <w:szCs w:val="36"/>
        </w:rPr>
      </w:pPr>
      <w:r>
        <w:rPr>
          <w:rFonts w:hint="default" w:ascii="Times New Roman" w:hAnsi="Times New Roman" w:eastAsia="仿宋" w:cs="Times New Roman"/>
          <w:b/>
          <w:bCs/>
          <w:sz w:val="36"/>
          <w:szCs w:val="36"/>
        </w:rPr>
        <w:t>服务采购项目</w:t>
      </w:r>
      <w:r>
        <w:rPr>
          <w:rFonts w:hint="default" w:ascii="Times New Roman" w:hAnsi="Times New Roman" w:eastAsia="仿宋" w:cs="Times New Roman"/>
          <w:b/>
          <w:sz w:val="36"/>
          <w:szCs w:val="36"/>
        </w:rPr>
        <w:t>报价表</w:t>
      </w:r>
    </w:p>
    <w:p w14:paraId="57A0BA40">
      <w:pPr>
        <w:keepNext w:val="0"/>
        <w:keepLines w:val="0"/>
        <w:pageBreakBefore w:val="0"/>
        <w:widowControl/>
        <w:kinsoku/>
        <w:wordWrap/>
        <w:overflowPunct/>
        <w:topLinePunct w:val="0"/>
        <w:autoSpaceDE/>
        <w:autoSpaceDN/>
        <w:bidi w:val="0"/>
        <w:adjustRightInd/>
        <w:snapToGrid/>
        <w:spacing w:before="157" w:beforeLines="50" w:line="580" w:lineRule="exact"/>
        <w:textAlignment w:val="baseline"/>
        <w:rPr>
          <w:rFonts w:hint="default" w:ascii="Times New Roman" w:hAnsi="Times New Roman" w:eastAsia="仿宋_GB2312" w:cs="Times New Roman"/>
          <w:color w:val="000000"/>
          <w:kern w:val="0"/>
          <w:sz w:val="28"/>
          <w:szCs w:val="24"/>
        </w:rPr>
      </w:pPr>
      <w:r>
        <w:rPr>
          <w:rFonts w:hint="default" w:ascii="Times New Roman" w:hAnsi="Times New Roman" w:eastAsia="仿宋_GB2312" w:cs="Times New Roman"/>
          <w:color w:val="000000"/>
          <w:kern w:val="0"/>
          <w:sz w:val="28"/>
          <w:szCs w:val="24"/>
        </w:rPr>
        <w:t>成都高投盈创动力投资发展有限公司：</w:t>
      </w:r>
    </w:p>
    <w:p w14:paraId="73EE1E2D">
      <w:pPr>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baseline"/>
        <w:rPr>
          <w:rFonts w:hint="default" w:ascii="Times New Roman" w:hAnsi="Times New Roman" w:eastAsia="仿宋_GB2312" w:cs="Times New Roman"/>
          <w:color w:val="000000"/>
          <w:kern w:val="0"/>
          <w:sz w:val="28"/>
          <w:szCs w:val="24"/>
        </w:rPr>
      </w:pPr>
      <w:r>
        <w:rPr>
          <w:rFonts w:hint="default" w:ascii="Times New Roman" w:hAnsi="Times New Roman" w:eastAsia="仿宋_GB2312" w:cs="Times New Roman"/>
          <w:color w:val="000000"/>
          <w:kern w:val="0"/>
          <w:sz w:val="28"/>
          <w:szCs w:val="24"/>
        </w:rPr>
        <w:t>贵司《合资新设成都某</w:t>
      </w:r>
      <w:r>
        <w:rPr>
          <w:rFonts w:hint="eastAsia" w:ascii="Times New Roman" w:hAnsi="Times New Roman" w:eastAsia="仿宋_GB2312" w:cs="Times New Roman"/>
          <w:color w:val="000000"/>
          <w:kern w:val="0"/>
          <w:sz w:val="28"/>
          <w:szCs w:val="24"/>
          <w:lang w:val="en-US" w:eastAsia="zh-CN"/>
        </w:rPr>
        <w:t>科技</w:t>
      </w:r>
      <w:r>
        <w:rPr>
          <w:rFonts w:hint="default" w:ascii="Times New Roman" w:hAnsi="Times New Roman" w:eastAsia="仿宋_GB2312" w:cs="Times New Roman"/>
          <w:color w:val="000000"/>
          <w:kern w:val="0"/>
          <w:sz w:val="28"/>
          <w:szCs w:val="24"/>
        </w:rPr>
        <w:t>服务公司法律尽职调查服务采购项目询价文件》已收悉，经我方认真研究，现向贵公司做出如下报价：</w:t>
      </w:r>
    </w:p>
    <w:tbl>
      <w:tblPr>
        <w:tblStyle w:val="1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44"/>
        <w:gridCol w:w="2850"/>
        <w:gridCol w:w="2544"/>
      </w:tblGrid>
      <w:tr w14:paraId="40EF7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3044" w:type="dxa"/>
            <w:shd w:val="clear" w:color="auto" w:fill="auto"/>
          </w:tcPr>
          <w:p w14:paraId="0D246477">
            <w:pPr>
              <w:widowControl/>
              <w:spacing w:line="360" w:lineRule="auto"/>
              <w:textAlignment w:val="center"/>
              <w:rPr>
                <w:rFonts w:hint="default" w:ascii="Times New Roman" w:hAnsi="Times New Roman" w:eastAsia="仿宋" w:cs="Times New Roman"/>
                <w:b/>
                <w:bCs/>
                <w:sz w:val="28"/>
                <w:szCs w:val="24"/>
              </w:rPr>
            </w:pPr>
            <w:r>
              <w:rPr>
                <w:rFonts w:hint="default" w:ascii="Times New Roman" w:hAnsi="Times New Roman" w:eastAsia="仿宋" w:cs="Times New Roman"/>
                <w:b/>
                <w:color w:val="000000"/>
                <w:kern w:val="0"/>
                <w:sz w:val="28"/>
                <w:szCs w:val="24"/>
              </w:rPr>
              <w:t>项目名称</w:t>
            </w:r>
          </w:p>
        </w:tc>
        <w:tc>
          <w:tcPr>
            <w:tcW w:w="2850" w:type="dxa"/>
            <w:shd w:val="clear" w:color="auto" w:fill="auto"/>
          </w:tcPr>
          <w:p w14:paraId="6AEEE2FC">
            <w:pPr>
              <w:widowControl/>
              <w:spacing w:line="360" w:lineRule="auto"/>
              <w:textAlignment w:val="center"/>
              <w:rPr>
                <w:rFonts w:hint="default" w:ascii="Times New Roman" w:hAnsi="Times New Roman" w:eastAsia="仿宋" w:cs="Times New Roman"/>
                <w:b/>
                <w:bCs/>
                <w:sz w:val="28"/>
                <w:szCs w:val="24"/>
              </w:rPr>
            </w:pPr>
            <w:r>
              <w:rPr>
                <w:rFonts w:hint="default" w:ascii="Times New Roman" w:hAnsi="Times New Roman" w:eastAsia="仿宋" w:cs="Times New Roman"/>
                <w:b/>
                <w:color w:val="000000"/>
                <w:kern w:val="0"/>
                <w:sz w:val="28"/>
                <w:szCs w:val="24"/>
              </w:rPr>
              <w:t>服务期限</w:t>
            </w:r>
          </w:p>
        </w:tc>
        <w:tc>
          <w:tcPr>
            <w:tcW w:w="2544" w:type="dxa"/>
            <w:shd w:val="clear" w:color="auto" w:fill="auto"/>
          </w:tcPr>
          <w:p w14:paraId="30EF0A0E">
            <w:pPr>
              <w:widowControl/>
              <w:spacing w:line="360" w:lineRule="auto"/>
              <w:textAlignment w:val="center"/>
              <w:rPr>
                <w:rFonts w:hint="default" w:ascii="Times New Roman" w:hAnsi="Times New Roman" w:eastAsia="仿宋" w:cs="Times New Roman"/>
                <w:b/>
                <w:bCs/>
                <w:sz w:val="28"/>
                <w:szCs w:val="24"/>
              </w:rPr>
            </w:pPr>
            <w:r>
              <w:rPr>
                <w:rFonts w:hint="default" w:ascii="Times New Roman" w:hAnsi="Times New Roman" w:eastAsia="仿宋" w:cs="Times New Roman"/>
                <w:b/>
                <w:color w:val="000000"/>
                <w:kern w:val="0"/>
                <w:sz w:val="28"/>
                <w:szCs w:val="24"/>
              </w:rPr>
              <w:t>报价（元）</w:t>
            </w:r>
          </w:p>
        </w:tc>
      </w:tr>
      <w:tr w14:paraId="3B531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4" w:hRule="atLeast"/>
          <w:jc w:val="center"/>
        </w:trPr>
        <w:tc>
          <w:tcPr>
            <w:tcW w:w="3044" w:type="dxa"/>
            <w:shd w:val="clear" w:color="auto" w:fill="auto"/>
          </w:tcPr>
          <w:p w14:paraId="117FC8D7">
            <w:pPr>
              <w:widowControl/>
              <w:spacing w:line="360" w:lineRule="exact"/>
              <w:textAlignment w:val="baseline"/>
              <w:rPr>
                <w:rFonts w:hint="default" w:ascii="Times New Roman" w:hAnsi="Times New Roman" w:eastAsia="仿宋_GB2312" w:cs="Times New Roman"/>
                <w:color w:val="000000"/>
                <w:kern w:val="0"/>
                <w:sz w:val="28"/>
                <w:szCs w:val="24"/>
                <w:highlight w:val="yellow"/>
              </w:rPr>
            </w:pPr>
            <w:r>
              <w:rPr>
                <w:rFonts w:hint="default" w:ascii="Times New Roman" w:hAnsi="Times New Roman" w:eastAsia="仿宋_GB2312" w:cs="Times New Roman"/>
                <w:color w:val="000000"/>
                <w:kern w:val="0"/>
                <w:sz w:val="28"/>
                <w:szCs w:val="24"/>
              </w:rPr>
              <w:t>合资新设成都某</w:t>
            </w:r>
            <w:r>
              <w:rPr>
                <w:rFonts w:hint="eastAsia" w:ascii="Times New Roman" w:hAnsi="Times New Roman" w:eastAsia="仿宋_GB2312" w:cs="Times New Roman"/>
                <w:color w:val="000000"/>
                <w:kern w:val="0"/>
                <w:sz w:val="28"/>
                <w:szCs w:val="24"/>
                <w:lang w:val="en-US" w:eastAsia="zh-CN"/>
              </w:rPr>
              <w:t>科技</w:t>
            </w:r>
            <w:r>
              <w:rPr>
                <w:rFonts w:hint="default" w:ascii="Times New Roman" w:hAnsi="Times New Roman" w:eastAsia="仿宋_GB2312" w:cs="Times New Roman"/>
                <w:color w:val="000000"/>
                <w:kern w:val="0"/>
                <w:sz w:val="28"/>
                <w:szCs w:val="24"/>
              </w:rPr>
              <w:t>服务公司法律尽职调查服务采购项目</w:t>
            </w:r>
          </w:p>
        </w:tc>
        <w:tc>
          <w:tcPr>
            <w:tcW w:w="2850" w:type="dxa"/>
            <w:shd w:val="clear" w:color="auto" w:fill="auto"/>
          </w:tcPr>
          <w:p w14:paraId="418D9033">
            <w:pPr>
              <w:widowControl/>
              <w:spacing w:line="360" w:lineRule="exact"/>
              <w:textAlignment w:val="baseline"/>
              <w:rPr>
                <w:rFonts w:hint="default" w:ascii="Times New Roman" w:hAnsi="Times New Roman" w:eastAsia="仿宋_GB2312" w:cs="Times New Roman"/>
                <w:color w:val="000000"/>
                <w:kern w:val="0"/>
                <w:sz w:val="28"/>
                <w:szCs w:val="24"/>
                <w:highlight w:val="yellow"/>
              </w:rPr>
            </w:pPr>
            <w:r>
              <w:rPr>
                <w:rFonts w:hint="default" w:ascii="Times New Roman" w:hAnsi="Times New Roman" w:eastAsia="仿宋_GB2312" w:cs="Times New Roman"/>
                <w:color w:val="000000"/>
                <w:kern w:val="0"/>
                <w:sz w:val="28"/>
                <w:szCs w:val="24"/>
              </w:rPr>
              <w:t>自合同签定后，至合同履行完毕之日。</w:t>
            </w:r>
          </w:p>
        </w:tc>
        <w:tc>
          <w:tcPr>
            <w:tcW w:w="2544" w:type="dxa"/>
            <w:shd w:val="clear" w:color="auto" w:fill="auto"/>
          </w:tcPr>
          <w:p w14:paraId="0DFD9471">
            <w:pPr>
              <w:spacing w:line="360" w:lineRule="auto"/>
              <w:rPr>
                <w:rFonts w:hint="default" w:ascii="Times New Roman" w:hAnsi="Times New Roman" w:eastAsia="仿宋" w:cs="Times New Roman"/>
                <w:bCs/>
                <w:sz w:val="28"/>
                <w:szCs w:val="24"/>
              </w:rPr>
            </w:pPr>
          </w:p>
        </w:tc>
      </w:tr>
    </w:tbl>
    <w:p w14:paraId="3714E1EC">
      <w:pPr>
        <w:spacing w:line="360" w:lineRule="auto"/>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联系人：</w:t>
      </w:r>
    </w:p>
    <w:p w14:paraId="40CCD92F">
      <w:pPr>
        <w:spacing w:line="360" w:lineRule="auto"/>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联系电话：</w:t>
      </w:r>
    </w:p>
    <w:p w14:paraId="0AFC5BD1">
      <w:pPr>
        <w:spacing w:line="360" w:lineRule="auto"/>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传真：</w:t>
      </w:r>
    </w:p>
    <w:p w14:paraId="165678C5">
      <w:pPr>
        <w:spacing w:line="360" w:lineRule="auto"/>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 xml:space="preserve">地址： </w:t>
      </w:r>
    </w:p>
    <w:p w14:paraId="79BEC440">
      <w:pPr>
        <w:spacing w:line="360" w:lineRule="auto"/>
        <w:rPr>
          <w:rFonts w:hint="default" w:ascii="Times New Roman" w:hAnsi="Times New Roman" w:eastAsia="仿宋_GB2312" w:cs="Times New Roman"/>
          <w:color w:val="000000"/>
          <w:sz w:val="28"/>
          <w:szCs w:val="28"/>
        </w:rPr>
      </w:pPr>
    </w:p>
    <w:p w14:paraId="1775775B">
      <w:pPr>
        <w:spacing w:line="360" w:lineRule="auto"/>
        <w:ind w:firstLine="560" w:firstLineChars="200"/>
        <w:rPr>
          <w:rFonts w:hint="default" w:ascii="Times New Roman" w:hAnsi="Times New Roman" w:eastAsia="仿宋_GB2312" w:cs="Times New Roman"/>
          <w:color w:val="000000"/>
          <w:sz w:val="28"/>
          <w:szCs w:val="28"/>
        </w:rPr>
      </w:pPr>
    </w:p>
    <w:p w14:paraId="296C07B6">
      <w:pPr>
        <w:spacing w:line="360" w:lineRule="auto"/>
        <w:ind w:firstLine="560" w:firstLineChars="200"/>
        <w:jc w:val="right"/>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 xml:space="preserve">公司名称（盖章）： </w:t>
      </w:r>
    </w:p>
    <w:p w14:paraId="2A2BD4A3">
      <w:pPr>
        <w:spacing w:line="360" w:lineRule="auto"/>
        <w:ind w:firstLine="560" w:firstLineChars="200"/>
        <w:jc w:val="right"/>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000000"/>
          <w:sz w:val="28"/>
          <w:szCs w:val="28"/>
        </w:rPr>
        <w:t>日期：年  月  日</w:t>
      </w:r>
    </w:p>
    <w:p w14:paraId="61DFA117">
      <w:pPr>
        <w:widowControl/>
        <w:jc w:val="left"/>
        <w:rPr>
          <w:rFonts w:hint="default" w:ascii="Times New Roman" w:hAnsi="Times New Roman" w:eastAsia="仿宋_GB2312" w:cs="Times New Roman"/>
          <w:sz w:val="28"/>
          <w:szCs w:val="28"/>
        </w:rPr>
      </w:pP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4334A4"/>
    <w:multiLevelType w:val="multilevel"/>
    <w:tmpl w:val="1E4334A4"/>
    <w:lvl w:ilvl="0" w:tentative="0">
      <w:start w:val="1"/>
      <w:numFmt w:val="japaneseCounting"/>
      <w:lvlText w:val="%1、"/>
      <w:lvlJc w:val="left"/>
      <w:pPr>
        <w:ind w:left="480" w:hanging="48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jZjZmNkZGI4OTRhZjZmNTMyNWUxYzMyNDA3MWI3MmUifQ=="/>
    <w:docVar w:name="KSO_WPS_MARK_KEY" w:val="0433ec5b-bb87-4119-8038-bb2a0c2bcc8f"/>
  </w:docVars>
  <w:rsids>
    <w:rsidRoot w:val="00AE7EAF"/>
    <w:rsid w:val="00001691"/>
    <w:rsid w:val="000050DA"/>
    <w:rsid w:val="000075B7"/>
    <w:rsid w:val="00007AC0"/>
    <w:rsid w:val="00011B46"/>
    <w:rsid w:val="00012C6D"/>
    <w:rsid w:val="00021922"/>
    <w:rsid w:val="00023272"/>
    <w:rsid w:val="00026C06"/>
    <w:rsid w:val="00030506"/>
    <w:rsid w:val="0003515C"/>
    <w:rsid w:val="00037684"/>
    <w:rsid w:val="000410E2"/>
    <w:rsid w:val="000436A4"/>
    <w:rsid w:val="000504C6"/>
    <w:rsid w:val="00051CD2"/>
    <w:rsid w:val="00064788"/>
    <w:rsid w:val="00070086"/>
    <w:rsid w:val="00070765"/>
    <w:rsid w:val="0007267F"/>
    <w:rsid w:val="00075028"/>
    <w:rsid w:val="00075A21"/>
    <w:rsid w:val="00092746"/>
    <w:rsid w:val="00095AA1"/>
    <w:rsid w:val="000A27D4"/>
    <w:rsid w:val="000A6435"/>
    <w:rsid w:val="000C0519"/>
    <w:rsid w:val="000C2647"/>
    <w:rsid w:val="000C4D57"/>
    <w:rsid w:val="000D175B"/>
    <w:rsid w:val="000D4784"/>
    <w:rsid w:val="000D528E"/>
    <w:rsid w:val="000D62BD"/>
    <w:rsid w:val="000E1304"/>
    <w:rsid w:val="000F50E9"/>
    <w:rsid w:val="000F68AA"/>
    <w:rsid w:val="000F7EC7"/>
    <w:rsid w:val="001033C1"/>
    <w:rsid w:val="001068B5"/>
    <w:rsid w:val="0011018A"/>
    <w:rsid w:val="001150B7"/>
    <w:rsid w:val="00120F26"/>
    <w:rsid w:val="001251B3"/>
    <w:rsid w:val="001265F4"/>
    <w:rsid w:val="001374D4"/>
    <w:rsid w:val="00142F1E"/>
    <w:rsid w:val="001556BC"/>
    <w:rsid w:val="00156F25"/>
    <w:rsid w:val="00164197"/>
    <w:rsid w:val="001740A3"/>
    <w:rsid w:val="00177F98"/>
    <w:rsid w:val="00186E2F"/>
    <w:rsid w:val="00193C8C"/>
    <w:rsid w:val="001977D5"/>
    <w:rsid w:val="00197BB0"/>
    <w:rsid w:val="001A0ED3"/>
    <w:rsid w:val="001A7754"/>
    <w:rsid w:val="001B0B33"/>
    <w:rsid w:val="001B266C"/>
    <w:rsid w:val="001C7D9B"/>
    <w:rsid w:val="001D0573"/>
    <w:rsid w:val="001D07E2"/>
    <w:rsid w:val="001D1B24"/>
    <w:rsid w:val="001D31A5"/>
    <w:rsid w:val="001D6FB6"/>
    <w:rsid w:val="001E1D3B"/>
    <w:rsid w:val="001E2686"/>
    <w:rsid w:val="001F3802"/>
    <w:rsid w:val="001F7328"/>
    <w:rsid w:val="001F7638"/>
    <w:rsid w:val="00200268"/>
    <w:rsid w:val="00205457"/>
    <w:rsid w:val="00214374"/>
    <w:rsid w:val="00214AA4"/>
    <w:rsid w:val="002237EE"/>
    <w:rsid w:val="00224695"/>
    <w:rsid w:val="00232C59"/>
    <w:rsid w:val="00234952"/>
    <w:rsid w:val="00244981"/>
    <w:rsid w:val="00250B2A"/>
    <w:rsid w:val="00256314"/>
    <w:rsid w:val="00263A28"/>
    <w:rsid w:val="00267FE1"/>
    <w:rsid w:val="002721BB"/>
    <w:rsid w:val="00277547"/>
    <w:rsid w:val="00286D0D"/>
    <w:rsid w:val="00291058"/>
    <w:rsid w:val="002965B9"/>
    <w:rsid w:val="00296755"/>
    <w:rsid w:val="002B692E"/>
    <w:rsid w:val="002B7943"/>
    <w:rsid w:val="002C57E6"/>
    <w:rsid w:val="002C64B5"/>
    <w:rsid w:val="002D21B0"/>
    <w:rsid w:val="002D69B5"/>
    <w:rsid w:val="002D7B7F"/>
    <w:rsid w:val="002D7E4C"/>
    <w:rsid w:val="002E6965"/>
    <w:rsid w:val="002E7951"/>
    <w:rsid w:val="002F0706"/>
    <w:rsid w:val="002F1682"/>
    <w:rsid w:val="002F5A76"/>
    <w:rsid w:val="0031211D"/>
    <w:rsid w:val="00322E7E"/>
    <w:rsid w:val="003406D6"/>
    <w:rsid w:val="003414C3"/>
    <w:rsid w:val="00342FFA"/>
    <w:rsid w:val="00344616"/>
    <w:rsid w:val="00345FA0"/>
    <w:rsid w:val="003462F4"/>
    <w:rsid w:val="00351E3C"/>
    <w:rsid w:val="003530D4"/>
    <w:rsid w:val="00354BA2"/>
    <w:rsid w:val="00360F5F"/>
    <w:rsid w:val="00363B6F"/>
    <w:rsid w:val="00363E22"/>
    <w:rsid w:val="00364012"/>
    <w:rsid w:val="00370C14"/>
    <w:rsid w:val="003752CA"/>
    <w:rsid w:val="00377793"/>
    <w:rsid w:val="003829C6"/>
    <w:rsid w:val="0038547F"/>
    <w:rsid w:val="00386FAB"/>
    <w:rsid w:val="00395586"/>
    <w:rsid w:val="003A19BC"/>
    <w:rsid w:val="003A5A38"/>
    <w:rsid w:val="003B304B"/>
    <w:rsid w:val="003B6B70"/>
    <w:rsid w:val="003C02E6"/>
    <w:rsid w:val="003C3CFA"/>
    <w:rsid w:val="003C6BD1"/>
    <w:rsid w:val="003E1890"/>
    <w:rsid w:val="003E3FF6"/>
    <w:rsid w:val="003E553E"/>
    <w:rsid w:val="003E727F"/>
    <w:rsid w:val="00401555"/>
    <w:rsid w:val="00407C07"/>
    <w:rsid w:val="00414C78"/>
    <w:rsid w:val="00415AC3"/>
    <w:rsid w:val="004215E1"/>
    <w:rsid w:val="00422763"/>
    <w:rsid w:val="004263DD"/>
    <w:rsid w:val="00432BF1"/>
    <w:rsid w:val="00433275"/>
    <w:rsid w:val="00434339"/>
    <w:rsid w:val="0043787A"/>
    <w:rsid w:val="00442DE3"/>
    <w:rsid w:val="00446191"/>
    <w:rsid w:val="0045612B"/>
    <w:rsid w:val="00467A13"/>
    <w:rsid w:val="00471A2A"/>
    <w:rsid w:val="004721C9"/>
    <w:rsid w:val="00472929"/>
    <w:rsid w:val="004769E8"/>
    <w:rsid w:val="00476C90"/>
    <w:rsid w:val="00483474"/>
    <w:rsid w:val="004A0A89"/>
    <w:rsid w:val="004A1182"/>
    <w:rsid w:val="004A239A"/>
    <w:rsid w:val="004B6C3D"/>
    <w:rsid w:val="004C310F"/>
    <w:rsid w:val="004C688F"/>
    <w:rsid w:val="004D0E7F"/>
    <w:rsid w:val="004D26DF"/>
    <w:rsid w:val="004D4920"/>
    <w:rsid w:val="004D6416"/>
    <w:rsid w:val="004D6FB2"/>
    <w:rsid w:val="004F131C"/>
    <w:rsid w:val="0050078B"/>
    <w:rsid w:val="00501BD6"/>
    <w:rsid w:val="005031C3"/>
    <w:rsid w:val="00511E49"/>
    <w:rsid w:val="005126BF"/>
    <w:rsid w:val="0051419C"/>
    <w:rsid w:val="00517DF7"/>
    <w:rsid w:val="00537494"/>
    <w:rsid w:val="0054346E"/>
    <w:rsid w:val="00546D57"/>
    <w:rsid w:val="00552FF7"/>
    <w:rsid w:val="005559E2"/>
    <w:rsid w:val="00557664"/>
    <w:rsid w:val="00561AC2"/>
    <w:rsid w:val="00564B35"/>
    <w:rsid w:val="00564BA5"/>
    <w:rsid w:val="00571E9F"/>
    <w:rsid w:val="00580E5E"/>
    <w:rsid w:val="00580FAD"/>
    <w:rsid w:val="005844C5"/>
    <w:rsid w:val="00584562"/>
    <w:rsid w:val="00586DDE"/>
    <w:rsid w:val="00591862"/>
    <w:rsid w:val="0059282C"/>
    <w:rsid w:val="00594C34"/>
    <w:rsid w:val="005A1D32"/>
    <w:rsid w:val="005A4A12"/>
    <w:rsid w:val="005A68BA"/>
    <w:rsid w:val="005A7166"/>
    <w:rsid w:val="005B162D"/>
    <w:rsid w:val="005B2960"/>
    <w:rsid w:val="005B2ABD"/>
    <w:rsid w:val="005B7B7A"/>
    <w:rsid w:val="005C18EE"/>
    <w:rsid w:val="005C3044"/>
    <w:rsid w:val="005C7A95"/>
    <w:rsid w:val="005D71D8"/>
    <w:rsid w:val="005D7C17"/>
    <w:rsid w:val="005E6622"/>
    <w:rsid w:val="005F546C"/>
    <w:rsid w:val="00600E9F"/>
    <w:rsid w:val="00601110"/>
    <w:rsid w:val="006019EE"/>
    <w:rsid w:val="00603042"/>
    <w:rsid w:val="00616B71"/>
    <w:rsid w:val="00623CC2"/>
    <w:rsid w:val="00631AE2"/>
    <w:rsid w:val="00633B82"/>
    <w:rsid w:val="00636639"/>
    <w:rsid w:val="00655F43"/>
    <w:rsid w:val="00661C3E"/>
    <w:rsid w:val="00662A63"/>
    <w:rsid w:val="00666654"/>
    <w:rsid w:val="00670D42"/>
    <w:rsid w:val="0067263A"/>
    <w:rsid w:val="006735C9"/>
    <w:rsid w:val="00676601"/>
    <w:rsid w:val="00681ABB"/>
    <w:rsid w:val="00687124"/>
    <w:rsid w:val="00694B78"/>
    <w:rsid w:val="00695042"/>
    <w:rsid w:val="006A071A"/>
    <w:rsid w:val="006A1D75"/>
    <w:rsid w:val="006A33B8"/>
    <w:rsid w:val="006A4883"/>
    <w:rsid w:val="006A4D8D"/>
    <w:rsid w:val="006B2716"/>
    <w:rsid w:val="006B47DC"/>
    <w:rsid w:val="006B5E24"/>
    <w:rsid w:val="006B77C7"/>
    <w:rsid w:val="006C4355"/>
    <w:rsid w:val="006C4731"/>
    <w:rsid w:val="006D57CF"/>
    <w:rsid w:val="006D6C85"/>
    <w:rsid w:val="006E1A11"/>
    <w:rsid w:val="006E6FF5"/>
    <w:rsid w:val="006F64FF"/>
    <w:rsid w:val="00704346"/>
    <w:rsid w:val="00704A0B"/>
    <w:rsid w:val="00707C0C"/>
    <w:rsid w:val="007128F3"/>
    <w:rsid w:val="007165A5"/>
    <w:rsid w:val="00725975"/>
    <w:rsid w:val="007264A2"/>
    <w:rsid w:val="00727265"/>
    <w:rsid w:val="00730C92"/>
    <w:rsid w:val="007314C0"/>
    <w:rsid w:val="0073685A"/>
    <w:rsid w:val="007375EA"/>
    <w:rsid w:val="00737708"/>
    <w:rsid w:val="00743FBB"/>
    <w:rsid w:val="007443F3"/>
    <w:rsid w:val="007475BE"/>
    <w:rsid w:val="00752155"/>
    <w:rsid w:val="00755C8C"/>
    <w:rsid w:val="00763548"/>
    <w:rsid w:val="007641A8"/>
    <w:rsid w:val="00775ADF"/>
    <w:rsid w:val="007828EF"/>
    <w:rsid w:val="00783397"/>
    <w:rsid w:val="00783B7F"/>
    <w:rsid w:val="0078471F"/>
    <w:rsid w:val="00784EC5"/>
    <w:rsid w:val="007871BA"/>
    <w:rsid w:val="0079259F"/>
    <w:rsid w:val="007A223B"/>
    <w:rsid w:val="007A5089"/>
    <w:rsid w:val="007B4CEA"/>
    <w:rsid w:val="007B740F"/>
    <w:rsid w:val="007B78C4"/>
    <w:rsid w:val="007C0D08"/>
    <w:rsid w:val="007C1B8D"/>
    <w:rsid w:val="007C3518"/>
    <w:rsid w:val="007C4399"/>
    <w:rsid w:val="007C443C"/>
    <w:rsid w:val="007D100E"/>
    <w:rsid w:val="007D1C93"/>
    <w:rsid w:val="007D5998"/>
    <w:rsid w:val="007E296D"/>
    <w:rsid w:val="007E3652"/>
    <w:rsid w:val="007E3AAE"/>
    <w:rsid w:val="007E4B56"/>
    <w:rsid w:val="007F02E7"/>
    <w:rsid w:val="007F2B70"/>
    <w:rsid w:val="007F7FAE"/>
    <w:rsid w:val="00800517"/>
    <w:rsid w:val="00810BDE"/>
    <w:rsid w:val="00815F31"/>
    <w:rsid w:val="00817B13"/>
    <w:rsid w:val="00820DAC"/>
    <w:rsid w:val="00822376"/>
    <w:rsid w:val="00823B71"/>
    <w:rsid w:val="00826C44"/>
    <w:rsid w:val="00826CAF"/>
    <w:rsid w:val="00827552"/>
    <w:rsid w:val="008327DF"/>
    <w:rsid w:val="00836D2B"/>
    <w:rsid w:val="008429F7"/>
    <w:rsid w:val="008433B0"/>
    <w:rsid w:val="00845C1E"/>
    <w:rsid w:val="00845C8F"/>
    <w:rsid w:val="00847848"/>
    <w:rsid w:val="00864317"/>
    <w:rsid w:val="00867877"/>
    <w:rsid w:val="00873476"/>
    <w:rsid w:val="00876951"/>
    <w:rsid w:val="0088046D"/>
    <w:rsid w:val="00883B30"/>
    <w:rsid w:val="008853B6"/>
    <w:rsid w:val="008870BE"/>
    <w:rsid w:val="008918B5"/>
    <w:rsid w:val="00893D92"/>
    <w:rsid w:val="0089410D"/>
    <w:rsid w:val="008A3DDE"/>
    <w:rsid w:val="008B36B6"/>
    <w:rsid w:val="008C1376"/>
    <w:rsid w:val="008E5884"/>
    <w:rsid w:val="008E5AA5"/>
    <w:rsid w:val="008E5BF0"/>
    <w:rsid w:val="008E690A"/>
    <w:rsid w:val="008F541D"/>
    <w:rsid w:val="0090468F"/>
    <w:rsid w:val="00906E86"/>
    <w:rsid w:val="00913031"/>
    <w:rsid w:val="00913CF8"/>
    <w:rsid w:val="00923ACF"/>
    <w:rsid w:val="00923F95"/>
    <w:rsid w:val="009314E2"/>
    <w:rsid w:val="00934B06"/>
    <w:rsid w:val="00937CCB"/>
    <w:rsid w:val="00940B4C"/>
    <w:rsid w:val="00946BC9"/>
    <w:rsid w:val="00947327"/>
    <w:rsid w:val="00951DD7"/>
    <w:rsid w:val="00956894"/>
    <w:rsid w:val="00967ABA"/>
    <w:rsid w:val="0097010F"/>
    <w:rsid w:val="00971E04"/>
    <w:rsid w:val="00984AD6"/>
    <w:rsid w:val="00987AB4"/>
    <w:rsid w:val="0099112A"/>
    <w:rsid w:val="00995032"/>
    <w:rsid w:val="009A2E0F"/>
    <w:rsid w:val="009B0D1F"/>
    <w:rsid w:val="009B14A7"/>
    <w:rsid w:val="009C0E94"/>
    <w:rsid w:val="009D2511"/>
    <w:rsid w:val="009D4843"/>
    <w:rsid w:val="009D5FF5"/>
    <w:rsid w:val="009E1637"/>
    <w:rsid w:val="009E2516"/>
    <w:rsid w:val="009E25FB"/>
    <w:rsid w:val="009E2AFD"/>
    <w:rsid w:val="009E45AC"/>
    <w:rsid w:val="009E644E"/>
    <w:rsid w:val="00A0239E"/>
    <w:rsid w:val="00A036A6"/>
    <w:rsid w:val="00A13B7B"/>
    <w:rsid w:val="00A14E99"/>
    <w:rsid w:val="00A17C62"/>
    <w:rsid w:val="00A2554E"/>
    <w:rsid w:val="00A27349"/>
    <w:rsid w:val="00A318BE"/>
    <w:rsid w:val="00A347D7"/>
    <w:rsid w:val="00A36C0D"/>
    <w:rsid w:val="00A51B57"/>
    <w:rsid w:val="00A52689"/>
    <w:rsid w:val="00A61B1C"/>
    <w:rsid w:val="00A633A0"/>
    <w:rsid w:val="00A66F4C"/>
    <w:rsid w:val="00A75316"/>
    <w:rsid w:val="00A805BA"/>
    <w:rsid w:val="00A80BED"/>
    <w:rsid w:val="00A8553C"/>
    <w:rsid w:val="00A870C1"/>
    <w:rsid w:val="00A92642"/>
    <w:rsid w:val="00A935A1"/>
    <w:rsid w:val="00AA0FC6"/>
    <w:rsid w:val="00AA3769"/>
    <w:rsid w:val="00AB3FFF"/>
    <w:rsid w:val="00AB70A3"/>
    <w:rsid w:val="00AB731E"/>
    <w:rsid w:val="00AC2D2D"/>
    <w:rsid w:val="00AC68F7"/>
    <w:rsid w:val="00AC7541"/>
    <w:rsid w:val="00AD4DE5"/>
    <w:rsid w:val="00AD53CA"/>
    <w:rsid w:val="00AD6048"/>
    <w:rsid w:val="00AE26A5"/>
    <w:rsid w:val="00AE7EAF"/>
    <w:rsid w:val="00AF2930"/>
    <w:rsid w:val="00AF4349"/>
    <w:rsid w:val="00AF4513"/>
    <w:rsid w:val="00B04CD1"/>
    <w:rsid w:val="00B13D4A"/>
    <w:rsid w:val="00B2416A"/>
    <w:rsid w:val="00B475D8"/>
    <w:rsid w:val="00B627C8"/>
    <w:rsid w:val="00B837EF"/>
    <w:rsid w:val="00B9300D"/>
    <w:rsid w:val="00B93425"/>
    <w:rsid w:val="00BA0899"/>
    <w:rsid w:val="00BA64C0"/>
    <w:rsid w:val="00BB2C36"/>
    <w:rsid w:val="00BB6975"/>
    <w:rsid w:val="00BC7337"/>
    <w:rsid w:val="00BC757F"/>
    <w:rsid w:val="00BD1DCA"/>
    <w:rsid w:val="00BD5A3C"/>
    <w:rsid w:val="00BD7F92"/>
    <w:rsid w:val="00BE6DD5"/>
    <w:rsid w:val="00BF4009"/>
    <w:rsid w:val="00C0363E"/>
    <w:rsid w:val="00C10094"/>
    <w:rsid w:val="00C10465"/>
    <w:rsid w:val="00C11585"/>
    <w:rsid w:val="00C1206B"/>
    <w:rsid w:val="00C1627D"/>
    <w:rsid w:val="00C17011"/>
    <w:rsid w:val="00C207F0"/>
    <w:rsid w:val="00C279E8"/>
    <w:rsid w:val="00C36151"/>
    <w:rsid w:val="00C44E4F"/>
    <w:rsid w:val="00C50D0B"/>
    <w:rsid w:val="00C50D85"/>
    <w:rsid w:val="00C62593"/>
    <w:rsid w:val="00C75225"/>
    <w:rsid w:val="00C767AD"/>
    <w:rsid w:val="00C816A6"/>
    <w:rsid w:val="00C85B93"/>
    <w:rsid w:val="00C87E10"/>
    <w:rsid w:val="00C925FF"/>
    <w:rsid w:val="00C96678"/>
    <w:rsid w:val="00C969EF"/>
    <w:rsid w:val="00C97824"/>
    <w:rsid w:val="00CA2991"/>
    <w:rsid w:val="00CA55CB"/>
    <w:rsid w:val="00CA6B38"/>
    <w:rsid w:val="00CB44D0"/>
    <w:rsid w:val="00CB4553"/>
    <w:rsid w:val="00CB48F5"/>
    <w:rsid w:val="00CC1D65"/>
    <w:rsid w:val="00CD3FB1"/>
    <w:rsid w:val="00CD4173"/>
    <w:rsid w:val="00CE2A78"/>
    <w:rsid w:val="00CE338B"/>
    <w:rsid w:val="00CE6E16"/>
    <w:rsid w:val="00CF156D"/>
    <w:rsid w:val="00D00891"/>
    <w:rsid w:val="00D04CD6"/>
    <w:rsid w:val="00D25788"/>
    <w:rsid w:val="00D2682A"/>
    <w:rsid w:val="00D301E6"/>
    <w:rsid w:val="00D36006"/>
    <w:rsid w:val="00D36998"/>
    <w:rsid w:val="00D46EE4"/>
    <w:rsid w:val="00D50989"/>
    <w:rsid w:val="00D53CC7"/>
    <w:rsid w:val="00D555C3"/>
    <w:rsid w:val="00D574AD"/>
    <w:rsid w:val="00D617E0"/>
    <w:rsid w:val="00D63386"/>
    <w:rsid w:val="00D72166"/>
    <w:rsid w:val="00D72A1B"/>
    <w:rsid w:val="00D74286"/>
    <w:rsid w:val="00D75BE1"/>
    <w:rsid w:val="00D81F93"/>
    <w:rsid w:val="00D82CDA"/>
    <w:rsid w:val="00D847D6"/>
    <w:rsid w:val="00D90D84"/>
    <w:rsid w:val="00D912AF"/>
    <w:rsid w:val="00D94AFA"/>
    <w:rsid w:val="00DA1579"/>
    <w:rsid w:val="00DA16AD"/>
    <w:rsid w:val="00DA4197"/>
    <w:rsid w:val="00DA4786"/>
    <w:rsid w:val="00DC792B"/>
    <w:rsid w:val="00DD40DB"/>
    <w:rsid w:val="00DE2723"/>
    <w:rsid w:val="00DE5BD6"/>
    <w:rsid w:val="00DF4A2E"/>
    <w:rsid w:val="00E05F41"/>
    <w:rsid w:val="00E117D8"/>
    <w:rsid w:val="00E219E8"/>
    <w:rsid w:val="00E21ABF"/>
    <w:rsid w:val="00E27F9C"/>
    <w:rsid w:val="00E41124"/>
    <w:rsid w:val="00E44C83"/>
    <w:rsid w:val="00E52264"/>
    <w:rsid w:val="00E53B4A"/>
    <w:rsid w:val="00E573AC"/>
    <w:rsid w:val="00E57A75"/>
    <w:rsid w:val="00E67280"/>
    <w:rsid w:val="00E734AD"/>
    <w:rsid w:val="00E73C14"/>
    <w:rsid w:val="00E77EE5"/>
    <w:rsid w:val="00E84CD9"/>
    <w:rsid w:val="00E946A2"/>
    <w:rsid w:val="00E95D28"/>
    <w:rsid w:val="00EB0A34"/>
    <w:rsid w:val="00EB7A6D"/>
    <w:rsid w:val="00EB7E1A"/>
    <w:rsid w:val="00EC103A"/>
    <w:rsid w:val="00ED0054"/>
    <w:rsid w:val="00ED16EF"/>
    <w:rsid w:val="00ED31C8"/>
    <w:rsid w:val="00ED47D7"/>
    <w:rsid w:val="00ED5D1F"/>
    <w:rsid w:val="00EE0774"/>
    <w:rsid w:val="00EE0BD9"/>
    <w:rsid w:val="00EF0064"/>
    <w:rsid w:val="00F02A57"/>
    <w:rsid w:val="00F13DA5"/>
    <w:rsid w:val="00F20C23"/>
    <w:rsid w:val="00F229E9"/>
    <w:rsid w:val="00F3456E"/>
    <w:rsid w:val="00F456F2"/>
    <w:rsid w:val="00F53C23"/>
    <w:rsid w:val="00F54A69"/>
    <w:rsid w:val="00F63522"/>
    <w:rsid w:val="00F643D4"/>
    <w:rsid w:val="00F64E67"/>
    <w:rsid w:val="00F672E7"/>
    <w:rsid w:val="00F75BA8"/>
    <w:rsid w:val="00F804A7"/>
    <w:rsid w:val="00F81BC6"/>
    <w:rsid w:val="00F82832"/>
    <w:rsid w:val="00F83AB6"/>
    <w:rsid w:val="00F85928"/>
    <w:rsid w:val="00F97254"/>
    <w:rsid w:val="00FA4158"/>
    <w:rsid w:val="00FB23D4"/>
    <w:rsid w:val="00FB5C9A"/>
    <w:rsid w:val="00FB65E1"/>
    <w:rsid w:val="00FC0F90"/>
    <w:rsid w:val="00FC777F"/>
    <w:rsid w:val="00FC7CEF"/>
    <w:rsid w:val="00FD2F8D"/>
    <w:rsid w:val="00FE145E"/>
    <w:rsid w:val="013B197A"/>
    <w:rsid w:val="039E11BA"/>
    <w:rsid w:val="03AA7361"/>
    <w:rsid w:val="04AD7FDB"/>
    <w:rsid w:val="04DF5F2E"/>
    <w:rsid w:val="056C5A14"/>
    <w:rsid w:val="07B40FAC"/>
    <w:rsid w:val="081A6E86"/>
    <w:rsid w:val="08646E76"/>
    <w:rsid w:val="08955281"/>
    <w:rsid w:val="089F7EAE"/>
    <w:rsid w:val="08CE78BD"/>
    <w:rsid w:val="097053A7"/>
    <w:rsid w:val="09B42E8B"/>
    <w:rsid w:val="0A6071C9"/>
    <w:rsid w:val="0CAA7A5F"/>
    <w:rsid w:val="0F265F88"/>
    <w:rsid w:val="0F331F6D"/>
    <w:rsid w:val="10A006DD"/>
    <w:rsid w:val="12A66E32"/>
    <w:rsid w:val="12C175FF"/>
    <w:rsid w:val="12E9234C"/>
    <w:rsid w:val="13C86A5A"/>
    <w:rsid w:val="147343AE"/>
    <w:rsid w:val="1537321C"/>
    <w:rsid w:val="16864E18"/>
    <w:rsid w:val="16CD42DD"/>
    <w:rsid w:val="16EE2335"/>
    <w:rsid w:val="17AF1970"/>
    <w:rsid w:val="17C23271"/>
    <w:rsid w:val="194031BA"/>
    <w:rsid w:val="1AC42CB0"/>
    <w:rsid w:val="1B146EA4"/>
    <w:rsid w:val="1D056901"/>
    <w:rsid w:val="1D060504"/>
    <w:rsid w:val="1D951428"/>
    <w:rsid w:val="1F1F369F"/>
    <w:rsid w:val="20216FA3"/>
    <w:rsid w:val="20370574"/>
    <w:rsid w:val="20544106"/>
    <w:rsid w:val="228850B7"/>
    <w:rsid w:val="22A16179"/>
    <w:rsid w:val="233E1464"/>
    <w:rsid w:val="240D7F6A"/>
    <w:rsid w:val="241F66D6"/>
    <w:rsid w:val="24A65CC9"/>
    <w:rsid w:val="26A5448A"/>
    <w:rsid w:val="27620233"/>
    <w:rsid w:val="27935A63"/>
    <w:rsid w:val="27CF0645"/>
    <w:rsid w:val="29A20738"/>
    <w:rsid w:val="29FB0865"/>
    <w:rsid w:val="2CEC36FF"/>
    <w:rsid w:val="2D865FF5"/>
    <w:rsid w:val="2EBF1EBD"/>
    <w:rsid w:val="2F280B75"/>
    <w:rsid w:val="2F464FB3"/>
    <w:rsid w:val="2FEA7640"/>
    <w:rsid w:val="30D96F27"/>
    <w:rsid w:val="32B06690"/>
    <w:rsid w:val="35A428FB"/>
    <w:rsid w:val="37E24541"/>
    <w:rsid w:val="39EA6490"/>
    <w:rsid w:val="39EE5CF0"/>
    <w:rsid w:val="3BC116A7"/>
    <w:rsid w:val="3BE21884"/>
    <w:rsid w:val="3E012CF6"/>
    <w:rsid w:val="3F1C59E2"/>
    <w:rsid w:val="3F29318C"/>
    <w:rsid w:val="3F412DC0"/>
    <w:rsid w:val="42F06DE6"/>
    <w:rsid w:val="43FB055D"/>
    <w:rsid w:val="44C67F95"/>
    <w:rsid w:val="47BC742D"/>
    <w:rsid w:val="487824A7"/>
    <w:rsid w:val="495E69EE"/>
    <w:rsid w:val="4A7A5E37"/>
    <w:rsid w:val="4ACD182F"/>
    <w:rsid w:val="4BE909E0"/>
    <w:rsid w:val="4C2F4672"/>
    <w:rsid w:val="4D6A0A0C"/>
    <w:rsid w:val="4E30022D"/>
    <w:rsid w:val="4EFB083B"/>
    <w:rsid w:val="4F8B1BBF"/>
    <w:rsid w:val="4F964D9C"/>
    <w:rsid w:val="50B20F3A"/>
    <w:rsid w:val="530B0915"/>
    <w:rsid w:val="53DC3268"/>
    <w:rsid w:val="54574F15"/>
    <w:rsid w:val="54ED50CA"/>
    <w:rsid w:val="55630EE8"/>
    <w:rsid w:val="55EE10FA"/>
    <w:rsid w:val="570D3802"/>
    <w:rsid w:val="584274DB"/>
    <w:rsid w:val="5B773940"/>
    <w:rsid w:val="5BA74E9A"/>
    <w:rsid w:val="5D76137E"/>
    <w:rsid w:val="5DE055FE"/>
    <w:rsid w:val="5E577370"/>
    <w:rsid w:val="5F022553"/>
    <w:rsid w:val="5F2609CE"/>
    <w:rsid w:val="5F9D4201"/>
    <w:rsid w:val="60C74A21"/>
    <w:rsid w:val="61A62889"/>
    <w:rsid w:val="61E91E24"/>
    <w:rsid w:val="62BA7A86"/>
    <w:rsid w:val="62E9537A"/>
    <w:rsid w:val="6324615B"/>
    <w:rsid w:val="63D52884"/>
    <w:rsid w:val="643C4416"/>
    <w:rsid w:val="66541D94"/>
    <w:rsid w:val="66B07D06"/>
    <w:rsid w:val="671604B0"/>
    <w:rsid w:val="68773D84"/>
    <w:rsid w:val="6A7A0D56"/>
    <w:rsid w:val="6B672E5B"/>
    <w:rsid w:val="6BFD02C1"/>
    <w:rsid w:val="6D0268F8"/>
    <w:rsid w:val="6E190FAC"/>
    <w:rsid w:val="6E1D0376"/>
    <w:rsid w:val="6E346F0C"/>
    <w:rsid w:val="6F871F4B"/>
    <w:rsid w:val="70765B1C"/>
    <w:rsid w:val="72C139C6"/>
    <w:rsid w:val="72DA4A88"/>
    <w:rsid w:val="72F571CC"/>
    <w:rsid w:val="74A569D0"/>
    <w:rsid w:val="74A82061"/>
    <w:rsid w:val="7516167C"/>
    <w:rsid w:val="75BE243F"/>
    <w:rsid w:val="77935205"/>
    <w:rsid w:val="79004B1D"/>
    <w:rsid w:val="797F3C93"/>
    <w:rsid w:val="7A3031E0"/>
    <w:rsid w:val="7AEC7106"/>
    <w:rsid w:val="7B4A49B3"/>
    <w:rsid w:val="7C0E7550"/>
    <w:rsid w:val="7DF6029C"/>
    <w:rsid w:val="7E953F59"/>
    <w:rsid w:val="FFFFA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4"/>
    <w:basedOn w:val="1"/>
    <w:next w:val="2"/>
    <w:link w:val="20"/>
    <w:unhideWhenUsed/>
    <w:qFormat/>
    <w:uiPriority w:val="9"/>
    <w:pPr>
      <w:spacing w:before="120" w:after="120" w:line="360" w:lineRule="auto"/>
      <w:outlineLvl w:val="3"/>
    </w:pPr>
    <w:rPr>
      <w:rFonts w:ascii="Arial" w:hAnsi="Arial" w:eastAsia="宋体" w:cs="Times New Roman"/>
      <w:sz w:val="24"/>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9"/>
    <w:qFormat/>
    <w:uiPriority w:val="99"/>
    <w:pPr>
      <w:spacing w:after="120"/>
    </w:pPr>
  </w:style>
  <w:style w:type="paragraph" w:styleId="4">
    <w:name w:val="Normal Indent"/>
    <w:basedOn w:val="1"/>
    <w:qFormat/>
    <w:uiPriority w:val="0"/>
    <w:pPr>
      <w:ind w:firstLine="420" w:firstLineChars="200"/>
    </w:pPr>
  </w:style>
  <w:style w:type="paragraph" w:styleId="5">
    <w:name w:val="Date"/>
    <w:basedOn w:val="1"/>
    <w:next w:val="1"/>
    <w:link w:val="17"/>
    <w:semiHidden/>
    <w:unhideWhenUsed/>
    <w:qFormat/>
    <w:uiPriority w:val="99"/>
    <w:pPr>
      <w:ind w:left="100" w:leftChars="2500"/>
    </w:pPr>
  </w:style>
  <w:style w:type="paragraph" w:styleId="6">
    <w:name w:val="Body Text Indent 2"/>
    <w:basedOn w:val="1"/>
    <w:link w:val="21"/>
    <w:semiHidden/>
    <w:unhideWhenUsed/>
    <w:qFormat/>
    <w:uiPriority w:val="99"/>
    <w:pPr>
      <w:spacing w:after="120" w:line="480" w:lineRule="auto"/>
      <w:ind w:left="420" w:leftChars="200"/>
    </w:pPr>
  </w:style>
  <w:style w:type="paragraph" w:styleId="7">
    <w:name w:val="Balloon Text"/>
    <w:basedOn w:val="1"/>
    <w:link w:val="22"/>
    <w:semiHidden/>
    <w:unhideWhenUsed/>
    <w:qFormat/>
    <w:uiPriority w:val="99"/>
    <w:rPr>
      <w:sz w:val="18"/>
      <w:szCs w:val="18"/>
    </w:rPr>
  </w:style>
  <w:style w:type="paragraph" w:styleId="8">
    <w:name w:val="footer"/>
    <w:basedOn w:val="1"/>
    <w:link w:val="15"/>
    <w:unhideWhenUsed/>
    <w:qFormat/>
    <w:uiPriority w:val="99"/>
    <w:pPr>
      <w:tabs>
        <w:tab w:val="center" w:pos="4153"/>
        <w:tab w:val="right" w:pos="8306"/>
      </w:tabs>
      <w:snapToGrid w:val="0"/>
      <w:jc w:val="left"/>
    </w:pPr>
    <w:rPr>
      <w:sz w:val="18"/>
      <w:szCs w:val="18"/>
    </w:rPr>
  </w:style>
  <w:style w:type="paragraph" w:styleId="9">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apple-converted-space"/>
    <w:basedOn w:val="12"/>
    <w:qFormat/>
    <w:uiPriority w:val="0"/>
  </w:style>
  <w:style w:type="character" w:customStyle="1" w:styleId="14">
    <w:name w:val="页眉 Char"/>
    <w:basedOn w:val="12"/>
    <w:link w:val="9"/>
    <w:qFormat/>
    <w:uiPriority w:val="99"/>
    <w:rPr>
      <w:sz w:val="18"/>
      <w:szCs w:val="18"/>
    </w:rPr>
  </w:style>
  <w:style w:type="character" w:customStyle="1" w:styleId="15">
    <w:name w:val="页脚 Char"/>
    <w:basedOn w:val="12"/>
    <w:link w:val="8"/>
    <w:qFormat/>
    <w:uiPriority w:val="99"/>
    <w:rPr>
      <w:sz w:val="18"/>
      <w:szCs w:val="18"/>
    </w:rPr>
  </w:style>
  <w:style w:type="paragraph" w:styleId="16">
    <w:name w:val="List Paragraph"/>
    <w:basedOn w:val="1"/>
    <w:qFormat/>
    <w:uiPriority w:val="34"/>
    <w:pPr>
      <w:ind w:firstLine="420" w:firstLineChars="200"/>
    </w:pPr>
  </w:style>
  <w:style w:type="character" w:customStyle="1" w:styleId="17">
    <w:name w:val="日期 Char"/>
    <w:basedOn w:val="12"/>
    <w:link w:val="5"/>
    <w:semiHidden/>
    <w:qFormat/>
    <w:uiPriority w:val="99"/>
  </w:style>
  <w:style w:type="paragraph" w:customStyle="1" w:styleId="18">
    <w:name w:val="_正文段落"/>
    <w:basedOn w:val="1"/>
    <w:qFormat/>
    <w:uiPriority w:val="0"/>
    <w:rPr>
      <w:rFonts w:ascii="宋体" w:eastAsia="仿宋_GB2312"/>
      <w:kern w:val="0"/>
      <w:sz w:val="28"/>
    </w:rPr>
  </w:style>
  <w:style w:type="character" w:customStyle="1" w:styleId="19">
    <w:name w:val="正文文本 Char"/>
    <w:basedOn w:val="12"/>
    <w:link w:val="2"/>
    <w:qFormat/>
    <w:uiPriority w:val="99"/>
    <w:rPr>
      <w:kern w:val="2"/>
      <w:sz w:val="21"/>
      <w:szCs w:val="22"/>
    </w:rPr>
  </w:style>
  <w:style w:type="character" w:customStyle="1" w:styleId="20">
    <w:name w:val="标题 4 Char"/>
    <w:basedOn w:val="12"/>
    <w:link w:val="3"/>
    <w:qFormat/>
    <w:uiPriority w:val="9"/>
    <w:rPr>
      <w:rFonts w:ascii="Arial" w:hAnsi="Arial" w:eastAsia="宋体" w:cs="Times New Roman"/>
      <w:kern w:val="2"/>
      <w:sz w:val="24"/>
      <w:szCs w:val="28"/>
    </w:rPr>
  </w:style>
  <w:style w:type="character" w:customStyle="1" w:styleId="21">
    <w:name w:val="正文文本缩进 2 Char"/>
    <w:basedOn w:val="12"/>
    <w:link w:val="6"/>
    <w:semiHidden/>
    <w:qFormat/>
    <w:uiPriority w:val="99"/>
    <w:rPr>
      <w:kern w:val="2"/>
      <w:sz w:val="21"/>
      <w:szCs w:val="22"/>
    </w:rPr>
  </w:style>
  <w:style w:type="character" w:customStyle="1" w:styleId="22">
    <w:name w:val="批注框文本 Char"/>
    <w:basedOn w:val="12"/>
    <w:link w:val="7"/>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Version="6" SelectedStyle="\APASixthEditionOfficeOnline.xsl" StyleName="APA"/>
</file>

<file path=customXml/itemProps1.xml><?xml version="1.0" encoding="utf-8"?>
<ds:datastoreItem xmlns:ds="http://schemas.openxmlformats.org/officeDocument/2006/customXml" ds:itemID="{CDE0782E-9DAF-44A0-967F-706CD3FEAF2B}">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6</Pages>
  <Words>1971</Words>
  <Characters>2042</Characters>
  <Lines>12</Lines>
  <Paragraphs>3</Paragraphs>
  <TotalTime>6</TotalTime>
  <ScaleCrop>false</ScaleCrop>
  <LinksUpToDate>false</LinksUpToDate>
  <CharactersWithSpaces>2059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2025-03-25T17:45:00Z</dcterms:created>
  <dc:creator>Administrator</dc:creator>
  <cp:lastModifiedBy>周宇思</cp:lastModifiedBy>
  <cp:lastPrinted>2026-01-22T01:48:00Z</cp:lastPrinted>
  <dcterms:modified xsi:type="dcterms:W3CDTF">2026-01-22T06:04:17Z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EBF976B5DB1BF4F92CBBE36701833F5B_43</vt:lpwstr>
  </property>
  <property fmtid="{D5CDD505-2E9C-101B-9397-08002B2CF9AE}" pid="4" name="KSOTemplateDocerSaveRecord">
    <vt:lpwstr>eyJoZGlkIjoiYjRjMTQ4ZGI1YTEwOWUwOWQ2NmUwMjBmZjNjNWViMzEiLCJ1c2VySWQiOiIxNzcyODA0NTgwIn0=</vt:lpwstr>
  </property>
</Properties>
</file>